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10FF0" w14:textId="44B35880" w:rsidR="00001610" w:rsidRPr="00742CD7" w:rsidRDefault="00D62714" w:rsidP="00543203">
      <w:pPr>
        <w:spacing w:after="0" w:line="360" w:lineRule="auto"/>
        <w:rPr>
          <w:rFonts w:ascii="Tahoma" w:hAnsi="Tahoma" w:cs="Tahoma"/>
          <w:b/>
          <w:color w:val="auto"/>
          <w:sz w:val="20"/>
          <w:szCs w:val="20"/>
          <w:lang w:val="en-GB"/>
        </w:rPr>
      </w:pPr>
      <w:r w:rsidRPr="00D62714">
        <w:rPr>
          <w:rFonts w:ascii="Tahoma" w:hAnsi="Tahoma" w:cs="Tahoma"/>
          <w:b/>
          <w:color w:val="auto"/>
          <w:sz w:val="20"/>
          <w:szCs w:val="20"/>
          <w:lang w:val="en-GB"/>
        </w:rPr>
        <w:t>FONDAZIONE LEONE MORESSA</w:t>
      </w:r>
    </w:p>
    <w:p w14:paraId="4E5D6B83" w14:textId="6D5675ED" w:rsidR="00D81A49" w:rsidRPr="00742CD7" w:rsidRDefault="00D81A49" w:rsidP="00543203">
      <w:pPr>
        <w:spacing w:after="0" w:line="360" w:lineRule="auto"/>
        <w:rPr>
          <w:rFonts w:ascii="Tahoma" w:hAnsi="Tahoma" w:cs="Tahoma"/>
          <w:b/>
          <w:color w:val="auto"/>
          <w:sz w:val="20"/>
          <w:szCs w:val="20"/>
          <w:lang w:val="en-GB"/>
        </w:rPr>
      </w:pPr>
      <w:r w:rsidRPr="00742CD7">
        <w:rPr>
          <w:rFonts w:ascii="Tahoma" w:hAnsi="Tahoma" w:cs="Tahoma"/>
          <w:b/>
          <w:color w:val="auto"/>
          <w:sz w:val="20"/>
          <w:szCs w:val="20"/>
          <w:lang w:val="en-GB"/>
        </w:rPr>
        <w:t>XI</w:t>
      </w:r>
      <w:r w:rsidR="00FE4329" w:rsidRPr="00742CD7">
        <w:rPr>
          <w:rFonts w:ascii="Tahoma" w:hAnsi="Tahoma" w:cs="Tahoma"/>
          <w:b/>
          <w:color w:val="auto"/>
          <w:sz w:val="20"/>
          <w:szCs w:val="20"/>
          <w:lang w:val="en-GB"/>
        </w:rPr>
        <w:t>V</w:t>
      </w:r>
      <w:r w:rsidRPr="00742CD7">
        <w:rPr>
          <w:rFonts w:ascii="Tahoma" w:hAnsi="Tahoma" w:cs="Tahoma"/>
          <w:b/>
          <w:color w:val="auto"/>
          <w:sz w:val="20"/>
          <w:szCs w:val="20"/>
          <w:lang w:val="en-GB"/>
        </w:rPr>
        <w:t xml:space="preserve"> </w:t>
      </w:r>
      <w:r w:rsidR="00247482" w:rsidRPr="00742CD7">
        <w:rPr>
          <w:rFonts w:ascii="Tahoma" w:hAnsi="Tahoma" w:cs="Tahoma"/>
          <w:b/>
          <w:color w:val="auto"/>
          <w:sz w:val="20"/>
          <w:szCs w:val="20"/>
          <w:lang w:val="en-GB"/>
        </w:rPr>
        <w:t>ANNUAL REPORT ON THE ECONOMICS OF IMMIGRATION</w:t>
      </w:r>
    </w:p>
    <w:p w14:paraId="70F26E35" w14:textId="4C59EAAE" w:rsidR="009033A9" w:rsidRPr="00742CD7" w:rsidRDefault="00247482" w:rsidP="00543203">
      <w:pPr>
        <w:spacing w:after="0" w:line="360" w:lineRule="auto"/>
        <w:rPr>
          <w:rFonts w:ascii="Tahoma" w:hAnsi="Tahoma" w:cs="Tahoma"/>
          <w:color w:val="auto"/>
          <w:sz w:val="20"/>
          <w:szCs w:val="20"/>
          <w:lang w:val="en-GB"/>
        </w:rPr>
      </w:pPr>
      <w:r w:rsidRPr="00742CD7">
        <w:rPr>
          <w:rFonts w:ascii="Tahoma" w:hAnsi="Tahoma" w:cs="Tahoma"/>
          <w:b/>
          <w:color w:val="auto"/>
          <w:sz w:val="20"/>
          <w:szCs w:val="20"/>
          <w:lang w:val="en-GB"/>
        </w:rPr>
        <w:t>The economic consequences of the demographic recession</w:t>
      </w:r>
    </w:p>
    <w:p w14:paraId="1F7ADD7E" w14:textId="77777777" w:rsidR="002B39CE" w:rsidRPr="00742CD7" w:rsidRDefault="002B39CE" w:rsidP="00543203">
      <w:pPr>
        <w:spacing w:after="0" w:line="360" w:lineRule="auto"/>
        <w:rPr>
          <w:rFonts w:ascii="Tahoma" w:hAnsi="Tahoma" w:cs="Tahoma"/>
          <w:color w:val="auto"/>
          <w:sz w:val="20"/>
          <w:szCs w:val="20"/>
          <w:lang w:val="en-GB"/>
        </w:rPr>
      </w:pPr>
    </w:p>
    <w:p w14:paraId="478FF687" w14:textId="2BA6E698" w:rsidR="00001610" w:rsidRPr="00742CD7" w:rsidRDefault="00001610" w:rsidP="00543203">
      <w:pPr>
        <w:spacing w:after="0" w:line="360" w:lineRule="auto"/>
        <w:jc w:val="both"/>
        <w:rPr>
          <w:rFonts w:ascii="Tahoma" w:hAnsi="Tahoma" w:cs="Tahoma"/>
          <w:b/>
          <w:sz w:val="20"/>
          <w:szCs w:val="20"/>
          <w:lang w:val="en-GB"/>
        </w:rPr>
      </w:pPr>
      <w:r w:rsidRPr="00742CD7">
        <w:rPr>
          <w:rFonts w:ascii="Tahoma" w:hAnsi="Tahoma" w:cs="Tahoma"/>
          <w:b/>
          <w:sz w:val="20"/>
          <w:szCs w:val="20"/>
          <w:lang w:val="en-GB"/>
        </w:rPr>
        <w:t>Presenta</w:t>
      </w:r>
      <w:r w:rsidR="00247482" w:rsidRPr="00742CD7">
        <w:rPr>
          <w:rFonts w:ascii="Tahoma" w:hAnsi="Tahoma" w:cs="Tahoma"/>
          <w:b/>
          <w:sz w:val="20"/>
          <w:szCs w:val="20"/>
          <w:lang w:val="en-GB"/>
        </w:rPr>
        <w:t>tion</w:t>
      </w:r>
    </w:p>
    <w:p w14:paraId="4E433EBE" w14:textId="77777777" w:rsidR="002B39CE" w:rsidRPr="00742CD7" w:rsidRDefault="002B39CE" w:rsidP="00543203">
      <w:pPr>
        <w:spacing w:after="0" w:line="360" w:lineRule="auto"/>
        <w:jc w:val="both"/>
        <w:rPr>
          <w:rFonts w:ascii="Tahoma" w:hAnsi="Tahoma" w:cs="Tahoma"/>
          <w:sz w:val="20"/>
          <w:szCs w:val="20"/>
          <w:lang w:val="en-GB"/>
        </w:rPr>
      </w:pPr>
    </w:p>
    <w:p w14:paraId="7B1AAD4D" w14:textId="77777777" w:rsidR="00247482" w:rsidRPr="00247482" w:rsidRDefault="00247482" w:rsidP="00247482">
      <w:pPr>
        <w:spacing w:after="0" w:line="360" w:lineRule="auto"/>
        <w:jc w:val="both"/>
        <w:rPr>
          <w:rFonts w:ascii="Tahoma" w:hAnsi="Tahoma" w:cs="Tahoma"/>
          <w:sz w:val="20"/>
          <w:szCs w:val="20"/>
          <w:lang w:val="en-GB"/>
        </w:rPr>
      </w:pPr>
      <w:r w:rsidRPr="00247482">
        <w:rPr>
          <w:rFonts w:ascii="Tahoma" w:hAnsi="Tahoma" w:cs="Tahoma"/>
          <w:sz w:val="20"/>
          <w:szCs w:val="20"/>
          <w:lang w:val="en-GB"/>
        </w:rPr>
        <w:t>If we were to summarise the prevailing thought on global demography over the past few decades into a slogan, we could say that we have moved "from a population explosion to a demographic winter". Although the world population as a whole continues to grow, many countries – including Europe and China – are already experiencing a demographic recession.</w:t>
      </w:r>
    </w:p>
    <w:p w14:paraId="49776CFE" w14:textId="77777777" w:rsidR="00247482" w:rsidRPr="00247482" w:rsidRDefault="00247482" w:rsidP="00247482">
      <w:pPr>
        <w:spacing w:after="0" w:line="360" w:lineRule="auto"/>
        <w:jc w:val="both"/>
        <w:rPr>
          <w:rFonts w:ascii="Tahoma" w:hAnsi="Tahoma" w:cs="Tahoma"/>
          <w:sz w:val="20"/>
          <w:szCs w:val="20"/>
          <w:lang w:val="en-GB"/>
        </w:rPr>
      </w:pPr>
      <w:r w:rsidRPr="00247482">
        <w:rPr>
          <w:rFonts w:ascii="Tahoma" w:hAnsi="Tahoma" w:cs="Tahoma"/>
          <w:sz w:val="20"/>
          <w:szCs w:val="20"/>
          <w:lang w:val="en-GB"/>
        </w:rPr>
        <w:t>The social and economic repercussions of the "demographic winter" are manifold. Some are already underway, while others may emerge in the near future. The 2024 edition of the Annual Report on the Economics of Immigration aims precisely to examine the economic consequences of the demographic recession, addressing the issue – as always – from various perspectives and understanding the possible implications of the migratory phenomenon.</w:t>
      </w:r>
    </w:p>
    <w:p w14:paraId="059D163B" w14:textId="77777777" w:rsidR="00247482" w:rsidRPr="00247482" w:rsidRDefault="00247482" w:rsidP="00247482">
      <w:pPr>
        <w:spacing w:after="0" w:line="360" w:lineRule="auto"/>
        <w:jc w:val="both"/>
        <w:rPr>
          <w:rFonts w:ascii="Tahoma" w:hAnsi="Tahoma" w:cs="Tahoma"/>
          <w:sz w:val="20"/>
          <w:szCs w:val="20"/>
          <w:lang w:val="en-GB"/>
        </w:rPr>
      </w:pPr>
      <w:r w:rsidRPr="00247482">
        <w:rPr>
          <w:rFonts w:ascii="Tahoma" w:hAnsi="Tahoma" w:cs="Tahoma"/>
          <w:sz w:val="20"/>
          <w:szCs w:val="20"/>
          <w:lang w:val="en-GB"/>
        </w:rPr>
        <w:t>The analyses presented in the Annual Report on the Economics of Immigration, based on official statistical sources and supported by in-depth studies and prestigious institutional contributions, highlight the role of immigration in Italy today. Immigrants represent about one-tenth of the workforce and generate approximately 9% of GDP. They have a low impact on public spending and, on the contrary, pay taxes and contributions and send money to their families back home.</w:t>
      </w:r>
    </w:p>
    <w:p w14:paraId="766A939F" w14:textId="77777777" w:rsidR="00247482" w:rsidRPr="00247482" w:rsidRDefault="00247482" w:rsidP="00247482">
      <w:pPr>
        <w:spacing w:after="0" w:line="360" w:lineRule="auto"/>
        <w:jc w:val="both"/>
        <w:rPr>
          <w:rFonts w:ascii="Tahoma" w:hAnsi="Tahoma" w:cs="Tahoma"/>
          <w:sz w:val="20"/>
          <w:szCs w:val="20"/>
          <w:lang w:val="en-GB"/>
        </w:rPr>
      </w:pPr>
      <w:r w:rsidRPr="00247482">
        <w:rPr>
          <w:rFonts w:ascii="Tahoma" w:hAnsi="Tahoma" w:cs="Tahoma"/>
          <w:sz w:val="20"/>
          <w:szCs w:val="20"/>
          <w:lang w:val="en-GB"/>
        </w:rPr>
        <w:t>Ultimately, immigration, provided it is managed and regulated, offers a positive contribution at demographic, economic, and social levels. Clearly, however, it cannot be the only response to the demographic recession. It is also necessary to invest in medium to long-term policies that enable families and young people to be in a position to have children again. As Pope Francis emphasised in his speech to the participants of the fourth edition of the General States of Birth, "the number of births is the primary indicator of a people's hope. Without children and young people, a country loses its desire for the future".</w:t>
      </w:r>
    </w:p>
    <w:p w14:paraId="23C9B229" w14:textId="77777777" w:rsidR="00247482" w:rsidRPr="00742CD7" w:rsidRDefault="00247482" w:rsidP="00543203">
      <w:pPr>
        <w:spacing w:after="0" w:line="360" w:lineRule="auto"/>
        <w:jc w:val="both"/>
        <w:rPr>
          <w:rFonts w:ascii="Tahoma" w:hAnsi="Tahoma" w:cs="Tahoma"/>
          <w:sz w:val="20"/>
          <w:szCs w:val="20"/>
          <w:lang w:val="en-GB"/>
        </w:rPr>
      </w:pPr>
    </w:p>
    <w:p w14:paraId="04CADB1D" w14:textId="77777777" w:rsidR="00FE4329" w:rsidRPr="00742CD7" w:rsidRDefault="00FE4329" w:rsidP="00543203">
      <w:pPr>
        <w:spacing w:after="0" w:line="360" w:lineRule="auto"/>
        <w:jc w:val="both"/>
        <w:rPr>
          <w:rFonts w:ascii="Tahoma" w:hAnsi="Tahoma" w:cs="Tahoma"/>
          <w:sz w:val="20"/>
          <w:szCs w:val="20"/>
          <w:lang w:val="en-GB"/>
        </w:rPr>
      </w:pPr>
    </w:p>
    <w:p w14:paraId="5AA873ED" w14:textId="086735A0" w:rsidR="00247482" w:rsidRPr="00742CD7" w:rsidRDefault="00FE4329" w:rsidP="00BC011C">
      <w:pPr>
        <w:spacing w:after="0" w:line="360" w:lineRule="auto"/>
        <w:rPr>
          <w:rFonts w:ascii="Tahoma" w:hAnsi="Tahoma" w:cs="Tahoma"/>
          <w:b/>
          <w:color w:val="auto"/>
          <w:sz w:val="20"/>
          <w:szCs w:val="20"/>
          <w:lang w:val="en-GB"/>
        </w:rPr>
      </w:pPr>
      <w:r w:rsidRPr="00742CD7">
        <w:rPr>
          <w:rFonts w:ascii="Tahoma" w:hAnsi="Tahoma" w:cs="Tahoma"/>
          <w:b/>
          <w:color w:val="auto"/>
          <w:sz w:val="20"/>
          <w:szCs w:val="20"/>
          <w:lang w:val="en-GB"/>
        </w:rPr>
        <w:t xml:space="preserve">1. </w:t>
      </w:r>
      <w:r w:rsidR="00247482" w:rsidRPr="00742CD7">
        <w:rPr>
          <w:rFonts w:ascii="Tahoma" w:hAnsi="Tahoma" w:cs="Tahoma"/>
          <w:b/>
          <w:color w:val="auto"/>
          <w:sz w:val="20"/>
          <w:szCs w:val="20"/>
          <w:lang w:val="en-GB"/>
        </w:rPr>
        <w:t>The demographic contribution of immigration in Italy</w:t>
      </w:r>
    </w:p>
    <w:p w14:paraId="03F8C300" w14:textId="77777777" w:rsidR="00247482" w:rsidRPr="00742CD7" w:rsidRDefault="00247482" w:rsidP="00AD35F7">
      <w:pPr>
        <w:spacing w:after="0" w:line="360" w:lineRule="auto"/>
        <w:jc w:val="both"/>
        <w:rPr>
          <w:rFonts w:ascii="Tahoma" w:hAnsi="Tahoma" w:cs="Tahoma"/>
          <w:color w:val="auto"/>
          <w:sz w:val="20"/>
          <w:szCs w:val="20"/>
          <w:lang w:val="en-GB"/>
        </w:rPr>
      </w:pPr>
    </w:p>
    <w:p w14:paraId="1DB23E25" w14:textId="77777777" w:rsidR="00247482" w:rsidRPr="00247482" w:rsidRDefault="00247482" w:rsidP="00247482">
      <w:pPr>
        <w:spacing w:after="0" w:line="360" w:lineRule="auto"/>
        <w:jc w:val="both"/>
        <w:rPr>
          <w:rFonts w:ascii="Tahoma" w:hAnsi="Tahoma" w:cs="Tahoma"/>
          <w:color w:val="auto"/>
          <w:sz w:val="20"/>
          <w:szCs w:val="20"/>
          <w:lang w:val="en-GB"/>
        </w:rPr>
      </w:pPr>
      <w:r w:rsidRPr="00247482">
        <w:rPr>
          <w:rFonts w:ascii="Tahoma" w:hAnsi="Tahoma" w:cs="Tahoma"/>
          <w:color w:val="auto"/>
          <w:sz w:val="20"/>
          <w:szCs w:val="20"/>
          <w:lang w:val="en-GB"/>
        </w:rPr>
        <w:t>The global population surpassed eight billion in 2022. According to United Nations projections, overall growth is expected to continue in the coming decades, with the world population reaching over 9 billion by 2037 and 10 billion by 2058.</w:t>
      </w:r>
    </w:p>
    <w:p w14:paraId="5A06C631" w14:textId="77777777" w:rsidR="00247482" w:rsidRPr="00247482" w:rsidRDefault="00247482" w:rsidP="00247482">
      <w:pPr>
        <w:spacing w:after="0" w:line="360" w:lineRule="auto"/>
        <w:jc w:val="both"/>
        <w:rPr>
          <w:rFonts w:ascii="Tahoma" w:hAnsi="Tahoma" w:cs="Tahoma"/>
          <w:color w:val="auto"/>
          <w:sz w:val="20"/>
          <w:szCs w:val="20"/>
          <w:lang w:val="en-GB"/>
        </w:rPr>
      </w:pPr>
      <w:r w:rsidRPr="00247482">
        <w:rPr>
          <w:rFonts w:ascii="Tahoma" w:hAnsi="Tahoma" w:cs="Tahoma"/>
          <w:color w:val="auto"/>
          <w:sz w:val="20"/>
          <w:szCs w:val="20"/>
          <w:lang w:val="en-GB"/>
        </w:rPr>
        <w:t xml:space="preserve">Thus, the global population will keep growing, but at increasingly slower rates. Additionally, this growth is not uniform, leading to a rebalancing of proportions between continents. In 1970, out of a total population of 3.7 billion, 58.1% of the planet's inhabitants lived in Asia, 13.3% in Europe (excluding Russia and Turkey), and 9.9% in Africa. In 2023, with a total population just over 8 billion, Asia remains by far the most populous </w:t>
      </w:r>
      <w:r w:rsidRPr="00247482">
        <w:rPr>
          <w:rFonts w:ascii="Tahoma" w:hAnsi="Tahoma" w:cs="Tahoma"/>
          <w:color w:val="auto"/>
          <w:sz w:val="20"/>
          <w:szCs w:val="20"/>
          <w:lang w:val="en-GB"/>
        </w:rPr>
        <w:lastRenderedPageBreak/>
        <w:t>continent, with 59.1% of the world's population. However, within Asia, there are diverse dynamics: China stopped growing in 2022, maintaining a population of 1.4 billion. India continues to grow at nearly 1% per year and, in 2023, became the most populous country in the world. Other Asian countries also continue to record high population growth rates, such as Indonesia, Pakistan, and Bangladesh. But the most significant data concerns Africa, which today has more than 1.4 billion inhabitants (18.2%), and Europe (excluding Russia and Turkey), which with just over 500 million inhabitants represents only 6.4% of the total.</w:t>
      </w:r>
    </w:p>
    <w:p w14:paraId="50EE1AD8" w14:textId="77777777" w:rsidR="00247482" w:rsidRPr="00247482" w:rsidRDefault="00247482" w:rsidP="00247482">
      <w:pPr>
        <w:spacing w:after="0" w:line="360" w:lineRule="auto"/>
        <w:jc w:val="both"/>
        <w:rPr>
          <w:rFonts w:ascii="Tahoma" w:hAnsi="Tahoma" w:cs="Tahoma"/>
          <w:color w:val="auto"/>
          <w:sz w:val="20"/>
          <w:szCs w:val="20"/>
          <w:lang w:val="en-GB"/>
        </w:rPr>
      </w:pPr>
      <w:r w:rsidRPr="00247482">
        <w:rPr>
          <w:rFonts w:ascii="Tahoma" w:hAnsi="Tahoma" w:cs="Tahoma"/>
          <w:color w:val="auto"/>
          <w:sz w:val="20"/>
          <w:szCs w:val="20"/>
          <w:lang w:val="en-GB"/>
        </w:rPr>
        <w:t>These dynamics are set to intensify further in the coming decades. According to United Nations projections, by 2070, Asia's share of the global population will have fallen to 50.5%, mainly due to the decline in China, whose population will be just over one billion. Africa, on the other hand, will have exceeded 3.2 billion inhabitants, nearly a third of the total 10.3 billion. The demographic decline of Europe and North America is expected to continue, both with about 430 million inhabitants (4.2% of the total).</w:t>
      </w:r>
    </w:p>
    <w:p w14:paraId="5988B087" w14:textId="77777777" w:rsidR="00247482" w:rsidRPr="00247482" w:rsidRDefault="00247482" w:rsidP="00247482">
      <w:pPr>
        <w:spacing w:after="0" w:line="360" w:lineRule="auto"/>
        <w:jc w:val="both"/>
        <w:rPr>
          <w:rFonts w:ascii="Tahoma" w:hAnsi="Tahoma" w:cs="Tahoma"/>
          <w:color w:val="auto"/>
          <w:sz w:val="20"/>
          <w:szCs w:val="20"/>
          <w:lang w:val="en-GB"/>
        </w:rPr>
      </w:pPr>
      <w:r w:rsidRPr="00247482">
        <w:rPr>
          <w:rFonts w:ascii="Tahoma" w:hAnsi="Tahoma" w:cs="Tahoma"/>
          <w:color w:val="auto"/>
          <w:sz w:val="20"/>
          <w:szCs w:val="20"/>
          <w:lang w:val="en-GB"/>
        </w:rPr>
        <w:t>From a demographic perspective, Europe – like most Western countries – has long been in the fourth phase of the "demographic transition", characterised by low birth rates and low mortality rates, leading to a progressively aging population and a relative increase in the elderly population. Some scholars argue that many European countries are even in a fifth phase, marked by a further collapse in birth rates and, consequently, a gradual decline in population. Hence the term "demographic winter", which refers to the confluence of declining births, increased life expectancy, and a rising average age of the population.</w:t>
      </w:r>
    </w:p>
    <w:p w14:paraId="11BC1CD8" w14:textId="2BB21660" w:rsidR="00247482" w:rsidRPr="00742CD7" w:rsidRDefault="00247482" w:rsidP="00AD35F7">
      <w:pPr>
        <w:spacing w:after="0" w:line="360" w:lineRule="auto"/>
        <w:jc w:val="both"/>
        <w:rPr>
          <w:rFonts w:ascii="Tahoma" w:hAnsi="Tahoma" w:cs="Tahoma"/>
          <w:color w:val="auto"/>
          <w:sz w:val="20"/>
          <w:szCs w:val="20"/>
          <w:lang w:val="en-GB"/>
        </w:rPr>
      </w:pPr>
      <w:r w:rsidRPr="00247482">
        <w:rPr>
          <w:rFonts w:ascii="Tahoma" w:hAnsi="Tahoma" w:cs="Tahoma"/>
          <w:color w:val="auto"/>
          <w:sz w:val="20"/>
          <w:szCs w:val="20"/>
          <w:lang w:val="en-GB"/>
        </w:rPr>
        <w:t>Italy is perhaps the most significant example of this situation, with fewer than 400,000 births and an average of 1.24 children per woman. According to Eurostat projections for 2070, in the next fifty years, the resident population in Italy is expected to decrease from 59 million to 53 million (-9.</w:t>
      </w:r>
      <w:r w:rsidR="00D523E0">
        <w:rPr>
          <w:rFonts w:ascii="Tahoma" w:hAnsi="Tahoma" w:cs="Tahoma"/>
          <w:color w:val="auto"/>
          <w:sz w:val="20"/>
          <w:szCs w:val="20"/>
          <w:lang w:val="en-GB"/>
        </w:rPr>
        <w:t>6</w:t>
      </w:r>
      <w:bookmarkStart w:id="0" w:name="_GoBack"/>
      <w:bookmarkEnd w:id="0"/>
      <w:r w:rsidRPr="00247482">
        <w:rPr>
          <w:rFonts w:ascii="Tahoma" w:hAnsi="Tahoma" w:cs="Tahoma"/>
          <w:color w:val="auto"/>
          <w:sz w:val="20"/>
          <w:szCs w:val="20"/>
          <w:lang w:val="en-GB"/>
        </w:rPr>
        <w:t>%). The over-65s, who today represent 24.0% of the population, would reach 33.6% of the total in less than fifty years.</w:t>
      </w:r>
    </w:p>
    <w:p w14:paraId="63B5D041" w14:textId="77777777" w:rsidR="00E559B2" w:rsidRPr="00742CD7" w:rsidRDefault="00E559B2" w:rsidP="00AD35F7">
      <w:pPr>
        <w:spacing w:after="0" w:line="360" w:lineRule="auto"/>
        <w:jc w:val="both"/>
        <w:rPr>
          <w:rFonts w:ascii="Tahoma" w:hAnsi="Tahoma" w:cs="Tahoma"/>
          <w:color w:val="auto"/>
          <w:sz w:val="20"/>
          <w:szCs w:val="20"/>
          <w:lang w:val="en-GB"/>
        </w:rPr>
      </w:pPr>
    </w:p>
    <w:p w14:paraId="51032727" w14:textId="472DA47B" w:rsidR="00E559B2" w:rsidRPr="00742CD7" w:rsidRDefault="00742CD7" w:rsidP="00E559B2">
      <w:pPr>
        <w:pStyle w:val="Standard"/>
        <w:jc w:val="both"/>
        <w:rPr>
          <w:rFonts w:ascii="Tahoma" w:hAnsi="Tahoma" w:cs="Tahoma"/>
          <w:sz w:val="20"/>
          <w:szCs w:val="20"/>
          <w:lang w:val="en-GB"/>
        </w:rPr>
      </w:pPr>
      <w:r>
        <w:rPr>
          <w:rFonts w:ascii="Tahoma" w:hAnsi="Tahoma" w:cs="Tahoma"/>
          <w:b/>
          <w:sz w:val="20"/>
          <w:szCs w:val="20"/>
          <w:lang w:val="en-GB"/>
        </w:rPr>
        <w:t xml:space="preserve">Population by age class, in Italy, </w:t>
      </w:r>
      <w:r w:rsidR="00E559B2" w:rsidRPr="00742CD7">
        <w:rPr>
          <w:rFonts w:ascii="Tahoma" w:hAnsi="Tahoma" w:cs="Tahoma"/>
          <w:b/>
          <w:sz w:val="20"/>
          <w:szCs w:val="20"/>
          <w:lang w:val="en-GB"/>
        </w:rPr>
        <w:t>2023-2070</w:t>
      </w:r>
      <w:r>
        <w:rPr>
          <w:rFonts w:ascii="Tahoma" w:hAnsi="Tahoma" w:cs="Tahoma"/>
          <w:b/>
          <w:sz w:val="20"/>
          <w:szCs w:val="20"/>
          <w:lang w:val="en-GB"/>
        </w:rPr>
        <w:t xml:space="preserve"> comparison.</w:t>
      </w:r>
    </w:p>
    <w:tbl>
      <w:tblPr>
        <w:tblW w:w="9240"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541"/>
        <w:gridCol w:w="1540"/>
        <w:gridCol w:w="1540"/>
        <w:gridCol w:w="1541"/>
        <w:gridCol w:w="1540"/>
        <w:gridCol w:w="1538"/>
      </w:tblGrid>
      <w:tr w:rsidR="00E559B2" w:rsidRPr="00742CD7" w14:paraId="5097FE88" w14:textId="77777777" w:rsidTr="00D523E0">
        <w:trPr>
          <w:trHeight w:val="315"/>
          <w:jc w:val="center"/>
        </w:trPr>
        <w:tc>
          <w:tcPr>
            <w:tcW w:w="1541" w:type="dxa"/>
            <w:tcBorders>
              <w:top w:val="single" w:sz="4" w:space="0" w:color="000000"/>
              <w:bottom w:val="single" w:sz="4" w:space="0" w:color="000000"/>
            </w:tcBorders>
            <w:shd w:val="clear" w:color="auto" w:fill="auto"/>
            <w:vAlign w:val="center"/>
          </w:tcPr>
          <w:p w14:paraId="0101DF55" w14:textId="448A8E72" w:rsidR="00E559B2" w:rsidRPr="00742CD7" w:rsidRDefault="00BC011C" w:rsidP="00C62F05">
            <w:pPr>
              <w:pStyle w:val="Standard"/>
              <w:rPr>
                <w:rFonts w:ascii="Tahoma" w:hAnsi="Tahoma" w:cs="Tahoma"/>
                <w:b/>
                <w:color w:val="000000"/>
                <w:sz w:val="20"/>
                <w:szCs w:val="20"/>
                <w:lang w:val="en-GB"/>
              </w:rPr>
            </w:pPr>
            <w:r w:rsidRPr="00742CD7">
              <w:rPr>
                <w:rFonts w:ascii="Tahoma" w:hAnsi="Tahoma" w:cs="Tahoma"/>
                <w:b/>
                <w:color w:val="000000"/>
                <w:sz w:val="20"/>
                <w:szCs w:val="20"/>
                <w:lang w:val="en-GB"/>
              </w:rPr>
              <w:t>Age class</w:t>
            </w:r>
          </w:p>
        </w:tc>
        <w:tc>
          <w:tcPr>
            <w:tcW w:w="1540" w:type="dxa"/>
            <w:tcBorders>
              <w:top w:val="single" w:sz="4" w:space="0" w:color="000000"/>
              <w:bottom w:val="single" w:sz="4" w:space="0" w:color="000000"/>
            </w:tcBorders>
            <w:shd w:val="clear" w:color="auto" w:fill="auto"/>
            <w:vAlign w:val="center"/>
          </w:tcPr>
          <w:p w14:paraId="3FE18364" w14:textId="77777777" w:rsidR="00E559B2" w:rsidRPr="00742CD7" w:rsidRDefault="00E559B2" w:rsidP="00C62F05">
            <w:pPr>
              <w:pStyle w:val="Standard"/>
              <w:jc w:val="center"/>
              <w:rPr>
                <w:rFonts w:ascii="Tahoma" w:hAnsi="Tahoma" w:cs="Tahoma"/>
                <w:b/>
                <w:color w:val="000000"/>
                <w:sz w:val="20"/>
                <w:szCs w:val="20"/>
                <w:lang w:val="en-GB"/>
              </w:rPr>
            </w:pPr>
            <w:r w:rsidRPr="00742CD7">
              <w:rPr>
                <w:rFonts w:ascii="Tahoma" w:hAnsi="Tahoma" w:cs="Tahoma"/>
                <w:b/>
                <w:color w:val="000000"/>
                <w:sz w:val="20"/>
                <w:szCs w:val="20"/>
                <w:lang w:val="en-GB"/>
              </w:rPr>
              <w:t>2023</w:t>
            </w:r>
          </w:p>
        </w:tc>
        <w:tc>
          <w:tcPr>
            <w:tcW w:w="1540" w:type="dxa"/>
            <w:tcBorders>
              <w:top w:val="single" w:sz="4" w:space="0" w:color="000000"/>
              <w:bottom w:val="single" w:sz="4" w:space="0" w:color="000000"/>
            </w:tcBorders>
            <w:shd w:val="clear" w:color="auto" w:fill="auto"/>
            <w:vAlign w:val="center"/>
          </w:tcPr>
          <w:p w14:paraId="497A600E" w14:textId="7AF65061" w:rsidR="00E559B2" w:rsidRPr="00742CD7" w:rsidRDefault="00E559B2" w:rsidP="00C62F05">
            <w:pPr>
              <w:pStyle w:val="Standard"/>
              <w:jc w:val="center"/>
              <w:rPr>
                <w:rFonts w:ascii="Tahoma" w:hAnsi="Tahoma" w:cs="Tahoma"/>
                <w:b/>
                <w:color w:val="000000"/>
                <w:sz w:val="20"/>
                <w:szCs w:val="20"/>
                <w:lang w:val="en-GB"/>
              </w:rPr>
            </w:pPr>
            <w:r w:rsidRPr="00742CD7">
              <w:rPr>
                <w:rFonts w:ascii="Tahoma" w:hAnsi="Tahoma" w:cs="Tahoma"/>
                <w:b/>
                <w:color w:val="000000"/>
                <w:sz w:val="20"/>
                <w:szCs w:val="20"/>
                <w:lang w:val="en-GB"/>
              </w:rPr>
              <w:t>2023</w:t>
            </w:r>
            <w:r w:rsidR="00BC011C" w:rsidRPr="00742CD7">
              <w:rPr>
                <w:rFonts w:ascii="Tahoma" w:hAnsi="Tahoma" w:cs="Tahoma"/>
                <w:b/>
                <w:color w:val="000000"/>
                <w:sz w:val="20"/>
                <w:szCs w:val="20"/>
                <w:lang w:val="en-GB"/>
              </w:rPr>
              <w:t xml:space="preserve"> </w:t>
            </w:r>
            <w:proofErr w:type="spellStart"/>
            <w:r w:rsidR="00BC011C" w:rsidRPr="00742CD7">
              <w:rPr>
                <w:rFonts w:ascii="Tahoma" w:hAnsi="Tahoma" w:cs="Tahoma"/>
                <w:b/>
                <w:color w:val="000000"/>
                <w:sz w:val="20"/>
                <w:szCs w:val="20"/>
                <w:lang w:val="en-GB"/>
              </w:rPr>
              <w:t>Distrib</w:t>
            </w:r>
            <w:proofErr w:type="spellEnd"/>
            <w:r w:rsidR="00BC011C" w:rsidRPr="00742CD7">
              <w:rPr>
                <w:rFonts w:ascii="Tahoma" w:hAnsi="Tahoma" w:cs="Tahoma"/>
                <w:b/>
                <w:color w:val="000000"/>
                <w:sz w:val="20"/>
                <w:szCs w:val="20"/>
                <w:lang w:val="en-GB"/>
              </w:rPr>
              <w:t>.</w:t>
            </w:r>
          </w:p>
        </w:tc>
        <w:tc>
          <w:tcPr>
            <w:tcW w:w="1541" w:type="dxa"/>
            <w:tcBorders>
              <w:top w:val="single" w:sz="4" w:space="0" w:color="000000"/>
              <w:bottom w:val="single" w:sz="4" w:space="0" w:color="000000"/>
            </w:tcBorders>
            <w:shd w:val="clear" w:color="auto" w:fill="auto"/>
            <w:vAlign w:val="center"/>
          </w:tcPr>
          <w:p w14:paraId="76C3DE63" w14:textId="77777777" w:rsidR="00E559B2" w:rsidRPr="00742CD7" w:rsidRDefault="00E559B2" w:rsidP="00C62F05">
            <w:pPr>
              <w:pStyle w:val="Standard"/>
              <w:jc w:val="center"/>
              <w:rPr>
                <w:rFonts w:ascii="Tahoma" w:hAnsi="Tahoma" w:cs="Tahoma"/>
                <w:b/>
                <w:color w:val="000000"/>
                <w:sz w:val="20"/>
                <w:szCs w:val="20"/>
                <w:lang w:val="en-GB"/>
              </w:rPr>
            </w:pPr>
            <w:r w:rsidRPr="00742CD7">
              <w:rPr>
                <w:rFonts w:ascii="Tahoma" w:hAnsi="Tahoma" w:cs="Tahoma"/>
                <w:b/>
                <w:color w:val="000000"/>
                <w:sz w:val="20"/>
                <w:szCs w:val="20"/>
                <w:lang w:val="en-GB"/>
              </w:rPr>
              <w:t>2070</w:t>
            </w:r>
          </w:p>
        </w:tc>
        <w:tc>
          <w:tcPr>
            <w:tcW w:w="1540" w:type="dxa"/>
            <w:tcBorders>
              <w:top w:val="single" w:sz="4" w:space="0" w:color="000000"/>
              <w:bottom w:val="single" w:sz="4" w:space="0" w:color="000000"/>
            </w:tcBorders>
            <w:shd w:val="clear" w:color="auto" w:fill="auto"/>
            <w:vAlign w:val="center"/>
          </w:tcPr>
          <w:p w14:paraId="53376BFB" w14:textId="26B68931" w:rsidR="00E559B2" w:rsidRPr="00742CD7" w:rsidRDefault="00E559B2" w:rsidP="00C62F05">
            <w:pPr>
              <w:pStyle w:val="Standard"/>
              <w:jc w:val="center"/>
              <w:rPr>
                <w:rFonts w:ascii="Tahoma" w:hAnsi="Tahoma" w:cs="Tahoma"/>
                <w:b/>
                <w:color w:val="000000"/>
                <w:sz w:val="20"/>
                <w:szCs w:val="20"/>
                <w:lang w:val="en-GB"/>
              </w:rPr>
            </w:pPr>
            <w:r w:rsidRPr="00742CD7">
              <w:rPr>
                <w:rFonts w:ascii="Tahoma" w:hAnsi="Tahoma" w:cs="Tahoma"/>
                <w:b/>
                <w:color w:val="000000"/>
                <w:sz w:val="20"/>
                <w:szCs w:val="20"/>
                <w:lang w:val="en-GB"/>
              </w:rPr>
              <w:t>2070</w:t>
            </w:r>
            <w:r w:rsidR="00BC011C" w:rsidRPr="00742CD7">
              <w:rPr>
                <w:rFonts w:ascii="Tahoma" w:hAnsi="Tahoma" w:cs="Tahoma"/>
                <w:b/>
                <w:color w:val="000000"/>
                <w:sz w:val="20"/>
                <w:szCs w:val="20"/>
                <w:lang w:val="en-GB"/>
              </w:rPr>
              <w:t xml:space="preserve"> </w:t>
            </w:r>
            <w:proofErr w:type="spellStart"/>
            <w:r w:rsidR="00BC011C" w:rsidRPr="00742CD7">
              <w:rPr>
                <w:rFonts w:ascii="Tahoma" w:hAnsi="Tahoma" w:cs="Tahoma"/>
                <w:b/>
                <w:color w:val="000000"/>
                <w:sz w:val="20"/>
                <w:szCs w:val="20"/>
                <w:lang w:val="en-GB"/>
              </w:rPr>
              <w:t>Distrib</w:t>
            </w:r>
            <w:proofErr w:type="spellEnd"/>
            <w:r w:rsidR="00BC011C" w:rsidRPr="00742CD7">
              <w:rPr>
                <w:rFonts w:ascii="Tahoma" w:hAnsi="Tahoma" w:cs="Tahoma"/>
                <w:b/>
                <w:color w:val="000000"/>
                <w:sz w:val="20"/>
                <w:szCs w:val="20"/>
                <w:lang w:val="en-GB"/>
              </w:rPr>
              <w:t>.</w:t>
            </w:r>
          </w:p>
        </w:tc>
        <w:tc>
          <w:tcPr>
            <w:tcW w:w="1538" w:type="dxa"/>
            <w:tcBorders>
              <w:top w:val="single" w:sz="4" w:space="0" w:color="000000"/>
              <w:bottom w:val="single" w:sz="4" w:space="0" w:color="000000"/>
            </w:tcBorders>
            <w:shd w:val="clear" w:color="auto" w:fill="auto"/>
            <w:vAlign w:val="center"/>
          </w:tcPr>
          <w:p w14:paraId="10366B4E" w14:textId="4BC91D46" w:rsidR="00E559B2" w:rsidRPr="00742CD7" w:rsidRDefault="00E559B2" w:rsidP="00C62F05">
            <w:pPr>
              <w:pStyle w:val="Standard"/>
              <w:jc w:val="center"/>
              <w:rPr>
                <w:rFonts w:ascii="Tahoma" w:hAnsi="Tahoma" w:cs="Tahoma"/>
                <w:b/>
                <w:color w:val="000000"/>
                <w:sz w:val="20"/>
                <w:szCs w:val="20"/>
                <w:lang w:val="en-GB"/>
              </w:rPr>
            </w:pPr>
            <w:r w:rsidRPr="00742CD7">
              <w:rPr>
                <w:rFonts w:ascii="Tahoma" w:hAnsi="Tahoma" w:cs="Tahoma"/>
                <w:b/>
                <w:color w:val="000000"/>
                <w:sz w:val="20"/>
                <w:szCs w:val="20"/>
                <w:lang w:val="en-GB"/>
              </w:rPr>
              <w:t>%</w:t>
            </w:r>
            <w:r w:rsidR="00BC011C" w:rsidRPr="00742CD7">
              <w:rPr>
                <w:rFonts w:ascii="Tahoma" w:hAnsi="Tahoma" w:cs="Tahoma"/>
                <w:b/>
                <w:color w:val="000000"/>
                <w:sz w:val="20"/>
                <w:szCs w:val="20"/>
                <w:lang w:val="en-GB"/>
              </w:rPr>
              <w:t xml:space="preserve"> </w:t>
            </w:r>
            <w:proofErr w:type="spellStart"/>
            <w:r w:rsidR="00BC011C" w:rsidRPr="00742CD7">
              <w:rPr>
                <w:rFonts w:ascii="Tahoma" w:hAnsi="Tahoma" w:cs="Tahoma"/>
                <w:b/>
                <w:color w:val="000000"/>
                <w:sz w:val="20"/>
                <w:szCs w:val="20"/>
                <w:lang w:val="en-GB"/>
              </w:rPr>
              <w:t>Variat</w:t>
            </w:r>
            <w:proofErr w:type="spellEnd"/>
            <w:r w:rsidR="00BC011C" w:rsidRPr="00742CD7">
              <w:rPr>
                <w:rFonts w:ascii="Tahoma" w:hAnsi="Tahoma" w:cs="Tahoma"/>
                <w:b/>
                <w:color w:val="000000"/>
                <w:sz w:val="20"/>
                <w:szCs w:val="20"/>
                <w:lang w:val="en-GB"/>
              </w:rPr>
              <w:t>.</w:t>
            </w:r>
          </w:p>
          <w:p w14:paraId="12BF5120" w14:textId="77777777" w:rsidR="00E559B2" w:rsidRPr="00742CD7" w:rsidRDefault="00E559B2" w:rsidP="00C62F05">
            <w:pPr>
              <w:pStyle w:val="Standard"/>
              <w:jc w:val="center"/>
              <w:rPr>
                <w:rFonts w:ascii="Tahoma" w:hAnsi="Tahoma" w:cs="Tahoma"/>
                <w:b/>
                <w:color w:val="000000"/>
                <w:sz w:val="20"/>
                <w:szCs w:val="20"/>
                <w:lang w:val="en-GB"/>
              </w:rPr>
            </w:pPr>
            <w:r w:rsidRPr="00742CD7">
              <w:rPr>
                <w:rFonts w:ascii="Tahoma" w:hAnsi="Tahoma" w:cs="Tahoma"/>
                <w:b/>
                <w:color w:val="000000"/>
                <w:sz w:val="20"/>
                <w:szCs w:val="20"/>
                <w:lang w:val="en-GB"/>
              </w:rPr>
              <w:t>2023-2070</w:t>
            </w:r>
          </w:p>
        </w:tc>
      </w:tr>
      <w:tr w:rsidR="00D523E0" w:rsidRPr="00742CD7" w14:paraId="36F673DD" w14:textId="77777777" w:rsidTr="00A540E3">
        <w:trPr>
          <w:trHeight w:val="315"/>
          <w:jc w:val="center"/>
        </w:trPr>
        <w:tc>
          <w:tcPr>
            <w:tcW w:w="1541" w:type="dxa"/>
            <w:tcBorders>
              <w:top w:val="single" w:sz="4" w:space="0" w:color="000000"/>
            </w:tcBorders>
            <w:shd w:val="clear" w:color="auto" w:fill="auto"/>
            <w:vAlign w:val="center"/>
          </w:tcPr>
          <w:p w14:paraId="720C934D" w14:textId="77777777" w:rsidR="00D523E0" w:rsidRPr="00742CD7" w:rsidRDefault="00D523E0" w:rsidP="00D523E0">
            <w:pPr>
              <w:pStyle w:val="Standard"/>
              <w:rPr>
                <w:rFonts w:ascii="Tahoma" w:hAnsi="Tahoma" w:cs="Tahoma"/>
                <w:color w:val="000000"/>
                <w:sz w:val="20"/>
                <w:szCs w:val="20"/>
                <w:lang w:val="en-GB"/>
              </w:rPr>
            </w:pPr>
            <w:r w:rsidRPr="00742CD7">
              <w:rPr>
                <w:rFonts w:ascii="Tahoma" w:hAnsi="Tahoma" w:cs="Tahoma"/>
                <w:color w:val="000000"/>
                <w:sz w:val="20"/>
                <w:szCs w:val="20"/>
                <w:lang w:val="en-GB"/>
              </w:rPr>
              <w:t>0-14</w:t>
            </w:r>
          </w:p>
        </w:tc>
        <w:tc>
          <w:tcPr>
            <w:tcW w:w="1540" w:type="dxa"/>
            <w:tcBorders>
              <w:top w:val="single" w:sz="4" w:space="0" w:color="000000"/>
            </w:tcBorders>
            <w:shd w:val="clear" w:color="auto" w:fill="auto"/>
            <w:vAlign w:val="center"/>
          </w:tcPr>
          <w:p w14:paraId="677BE064" w14:textId="50E6D972"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7</w:t>
            </w:r>
            <w:r>
              <w:rPr>
                <w:rFonts w:ascii="Tahoma" w:hAnsi="Tahoma" w:cs="Tahoma"/>
                <w:color w:val="auto"/>
                <w:sz w:val="20"/>
                <w:szCs w:val="20"/>
              </w:rPr>
              <w:t>,</w:t>
            </w:r>
            <w:r w:rsidRPr="002C0414">
              <w:rPr>
                <w:rFonts w:ascii="Tahoma" w:hAnsi="Tahoma" w:cs="Tahoma"/>
                <w:color w:val="auto"/>
                <w:sz w:val="20"/>
                <w:szCs w:val="20"/>
              </w:rPr>
              <w:t>344</w:t>
            </w:r>
            <w:r>
              <w:rPr>
                <w:rFonts w:ascii="Tahoma" w:hAnsi="Tahoma" w:cs="Tahoma"/>
                <w:color w:val="auto"/>
                <w:sz w:val="20"/>
                <w:szCs w:val="20"/>
              </w:rPr>
              <w:t>,</w:t>
            </w:r>
            <w:r w:rsidRPr="002C0414">
              <w:rPr>
                <w:rFonts w:ascii="Tahoma" w:hAnsi="Tahoma" w:cs="Tahoma"/>
                <w:color w:val="auto"/>
                <w:sz w:val="20"/>
                <w:szCs w:val="20"/>
              </w:rPr>
              <w:t>099</w:t>
            </w:r>
          </w:p>
        </w:tc>
        <w:tc>
          <w:tcPr>
            <w:tcW w:w="1540" w:type="dxa"/>
            <w:tcBorders>
              <w:top w:val="single" w:sz="4" w:space="0" w:color="000000"/>
            </w:tcBorders>
            <w:shd w:val="clear" w:color="auto" w:fill="auto"/>
            <w:vAlign w:val="center"/>
          </w:tcPr>
          <w:p w14:paraId="165C3A11" w14:textId="2ECC8098"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12.</w:t>
            </w:r>
            <w:r>
              <w:rPr>
                <w:rFonts w:ascii="Tahoma" w:hAnsi="Tahoma" w:cs="Tahoma"/>
                <w:color w:val="000000"/>
                <w:sz w:val="20"/>
                <w:szCs w:val="20"/>
                <w:lang w:val="en-GB"/>
              </w:rPr>
              <w:t>4</w:t>
            </w:r>
            <w:r w:rsidRPr="00742CD7">
              <w:rPr>
                <w:rFonts w:ascii="Tahoma" w:hAnsi="Tahoma" w:cs="Tahoma"/>
                <w:color w:val="000000"/>
                <w:sz w:val="20"/>
                <w:szCs w:val="20"/>
                <w:lang w:val="en-GB"/>
              </w:rPr>
              <w:t>%</w:t>
            </w:r>
          </w:p>
        </w:tc>
        <w:tc>
          <w:tcPr>
            <w:tcW w:w="1541" w:type="dxa"/>
            <w:tcBorders>
              <w:top w:val="single" w:sz="4" w:space="0" w:color="000000"/>
            </w:tcBorders>
            <w:shd w:val="clear" w:color="auto" w:fill="auto"/>
            <w:vAlign w:val="center"/>
          </w:tcPr>
          <w:p w14:paraId="6B2C5A91" w14:textId="2B252321"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5,807,993</w:t>
            </w:r>
          </w:p>
        </w:tc>
        <w:tc>
          <w:tcPr>
            <w:tcW w:w="1540" w:type="dxa"/>
            <w:tcBorders>
              <w:top w:val="single" w:sz="4" w:space="0" w:color="000000"/>
            </w:tcBorders>
            <w:shd w:val="clear" w:color="auto" w:fill="auto"/>
            <w:vAlign w:val="center"/>
          </w:tcPr>
          <w:p w14:paraId="1F9B55F4" w14:textId="06292724"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10.9%</w:t>
            </w:r>
          </w:p>
        </w:tc>
        <w:tc>
          <w:tcPr>
            <w:tcW w:w="1538" w:type="dxa"/>
            <w:tcBorders>
              <w:top w:val="single" w:sz="4" w:space="0" w:color="auto"/>
              <w:left w:val="nil"/>
              <w:bottom w:val="single" w:sz="4" w:space="0" w:color="auto"/>
              <w:right w:val="nil"/>
            </w:tcBorders>
            <w:shd w:val="clear" w:color="auto" w:fill="auto"/>
            <w:vAlign w:val="center"/>
          </w:tcPr>
          <w:p w14:paraId="253D2D10" w14:textId="6C366ADD"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-20</w:t>
            </w:r>
            <w:r>
              <w:rPr>
                <w:rFonts w:ascii="Tahoma" w:hAnsi="Tahoma" w:cs="Tahoma"/>
                <w:color w:val="auto"/>
                <w:sz w:val="20"/>
                <w:szCs w:val="20"/>
              </w:rPr>
              <w:t>.</w:t>
            </w:r>
            <w:r w:rsidRPr="002C0414">
              <w:rPr>
                <w:rFonts w:ascii="Tahoma" w:hAnsi="Tahoma" w:cs="Tahoma"/>
                <w:color w:val="auto"/>
                <w:sz w:val="20"/>
                <w:szCs w:val="20"/>
              </w:rPr>
              <w:t>9%</w:t>
            </w:r>
          </w:p>
        </w:tc>
      </w:tr>
      <w:tr w:rsidR="00D523E0" w:rsidRPr="00742CD7" w14:paraId="10B592DD" w14:textId="77777777" w:rsidTr="00A540E3">
        <w:trPr>
          <w:trHeight w:val="315"/>
          <w:jc w:val="center"/>
        </w:trPr>
        <w:tc>
          <w:tcPr>
            <w:tcW w:w="1541" w:type="dxa"/>
            <w:shd w:val="clear" w:color="auto" w:fill="auto"/>
            <w:vAlign w:val="center"/>
          </w:tcPr>
          <w:p w14:paraId="27C7AFD7" w14:textId="77777777" w:rsidR="00D523E0" w:rsidRPr="00742CD7" w:rsidRDefault="00D523E0" w:rsidP="00D523E0">
            <w:pPr>
              <w:pStyle w:val="Standard"/>
              <w:rPr>
                <w:rFonts w:ascii="Tahoma" w:hAnsi="Tahoma" w:cs="Tahoma"/>
                <w:color w:val="000000"/>
                <w:sz w:val="20"/>
                <w:szCs w:val="20"/>
                <w:lang w:val="en-GB"/>
              </w:rPr>
            </w:pPr>
            <w:r w:rsidRPr="00742CD7">
              <w:rPr>
                <w:rFonts w:ascii="Tahoma" w:hAnsi="Tahoma" w:cs="Tahoma"/>
                <w:color w:val="000000"/>
                <w:sz w:val="20"/>
                <w:szCs w:val="20"/>
                <w:lang w:val="en-GB"/>
              </w:rPr>
              <w:t>15-64</w:t>
            </w:r>
          </w:p>
        </w:tc>
        <w:tc>
          <w:tcPr>
            <w:tcW w:w="1540" w:type="dxa"/>
            <w:shd w:val="clear" w:color="auto" w:fill="auto"/>
            <w:vAlign w:val="center"/>
          </w:tcPr>
          <w:p w14:paraId="32B19AAE" w14:textId="73723F96"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37</w:t>
            </w:r>
            <w:r>
              <w:rPr>
                <w:rFonts w:ascii="Tahoma" w:hAnsi="Tahoma" w:cs="Tahoma"/>
                <w:color w:val="auto"/>
                <w:sz w:val="20"/>
                <w:szCs w:val="20"/>
              </w:rPr>
              <w:t>,</w:t>
            </w:r>
            <w:r w:rsidRPr="002C0414">
              <w:rPr>
                <w:rFonts w:ascii="Tahoma" w:hAnsi="Tahoma" w:cs="Tahoma"/>
                <w:color w:val="auto"/>
                <w:sz w:val="20"/>
                <w:szCs w:val="20"/>
              </w:rPr>
              <w:t>471</w:t>
            </w:r>
            <w:r>
              <w:rPr>
                <w:rFonts w:ascii="Tahoma" w:hAnsi="Tahoma" w:cs="Tahoma"/>
                <w:color w:val="auto"/>
                <w:sz w:val="20"/>
                <w:szCs w:val="20"/>
              </w:rPr>
              <w:t>,</w:t>
            </w:r>
            <w:r w:rsidRPr="002C0414">
              <w:rPr>
                <w:rFonts w:ascii="Tahoma" w:hAnsi="Tahoma" w:cs="Tahoma"/>
                <w:color w:val="auto"/>
                <w:sz w:val="20"/>
                <w:szCs w:val="20"/>
              </w:rPr>
              <w:t>805</w:t>
            </w:r>
          </w:p>
        </w:tc>
        <w:tc>
          <w:tcPr>
            <w:tcW w:w="1540" w:type="dxa"/>
            <w:shd w:val="clear" w:color="auto" w:fill="auto"/>
            <w:vAlign w:val="center"/>
          </w:tcPr>
          <w:p w14:paraId="6287DB4D" w14:textId="7CD930A9"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63.5%</w:t>
            </w:r>
          </w:p>
        </w:tc>
        <w:tc>
          <w:tcPr>
            <w:tcW w:w="1541" w:type="dxa"/>
            <w:shd w:val="clear" w:color="auto" w:fill="auto"/>
            <w:vAlign w:val="center"/>
          </w:tcPr>
          <w:p w14:paraId="10F50DDD" w14:textId="1C35D8A8"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29,579,384</w:t>
            </w:r>
          </w:p>
        </w:tc>
        <w:tc>
          <w:tcPr>
            <w:tcW w:w="1540" w:type="dxa"/>
            <w:shd w:val="clear" w:color="auto" w:fill="auto"/>
            <w:vAlign w:val="center"/>
          </w:tcPr>
          <w:p w14:paraId="2421988D" w14:textId="70BB97A0"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55.5%</w:t>
            </w:r>
          </w:p>
        </w:tc>
        <w:tc>
          <w:tcPr>
            <w:tcW w:w="1538" w:type="dxa"/>
            <w:tcBorders>
              <w:top w:val="single" w:sz="4" w:space="0" w:color="auto"/>
              <w:left w:val="nil"/>
              <w:bottom w:val="single" w:sz="4" w:space="0" w:color="auto"/>
              <w:right w:val="nil"/>
            </w:tcBorders>
            <w:shd w:val="clear" w:color="auto" w:fill="auto"/>
            <w:vAlign w:val="center"/>
          </w:tcPr>
          <w:p w14:paraId="37E614B7" w14:textId="09DD095B"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-21</w:t>
            </w:r>
            <w:r>
              <w:rPr>
                <w:rFonts w:ascii="Tahoma" w:hAnsi="Tahoma" w:cs="Tahoma"/>
                <w:color w:val="auto"/>
                <w:sz w:val="20"/>
                <w:szCs w:val="20"/>
              </w:rPr>
              <w:t>.</w:t>
            </w:r>
            <w:r w:rsidRPr="002C0414">
              <w:rPr>
                <w:rFonts w:ascii="Tahoma" w:hAnsi="Tahoma" w:cs="Tahoma"/>
                <w:color w:val="auto"/>
                <w:sz w:val="20"/>
                <w:szCs w:val="20"/>
              </w:rPr>
              <w:t>1%</w:t>
            </w:r>
          </w:p>
        </w:tc>
      </w:tr>
      <w:tr w:rsidR="00D523E0" w:rsidRPr="00742CD7" w14:paraId="767ED55D" w14:textId="77777777" w:rsidTr="00A540E3">
        <w:trPr>
          <w:trHeight w:val="315"/>
          <w:jc w:val="center"/>
        </w:trPr>
        <w:tc>
          <w:tcPr>
            <w:tcW w:w="1541" w:type="dxa"/>
            <w:tcBorders>
              <w:bottom w:val="single" w:sz="4" w:space="0" w:color="000000"/>
            </w:tcBorders>
            <w:shd w:val="clear" w:color="auto" w:fill="auto"/>
            <w:vAlign w:val="center"/>
          </w:tcPr>
          <w:p w14:paraId="20CFEEB8" w14:textId="77777777" w:rsidR="00D523E0" w:rsidRPr="00742CD7" w:rsidRDefault="00D523E0" w:rsidP="00D523E0">
            <w:pPr>
              <w:pStyle w:val="Standard"/>
              <w:rPr>
                <w:rFonts w:ascii="Tahoma" w:hAnsi="Tahoma" w:cs="Tahoma"/>
                <w:color w:val="000000"/>
                <w:sz w:val="20"/>
                <w:szCs w:val="20"/>
                <w:lang w:val="en-GB"/>
              </w:rPr>
            </w:pPr>
            <w:r w:rsidRPr="00742CD7">
              <w:rPr>
                <w:rFonts w:ascii="Tahoma" w:hAnsi="Tahoma" w:cs="Tahoma"/>
                <w:color w:val="000000"/>
                <w:sz w:val="20"/>
                <w:szCs w:val="20"/>
                <w:lang w:val="en-GB"/>
              </w:rPr>
              <w:t>65+</w:t>
            </w:r>
          </w:p>
        </w:tc>
        <w:tc>
          <w:tcPr>
            <w:tcW w:w="1540" w:type="dxa"/>
            <w:tcBorders>
              <w:bottom w:val="single" w:sz="4" w:space="0" w:color="000000"/>
            </w:tcBorders>
            <w:shd w:val="clear" w:color="auto" w:fill="auto"/>
            <w:vAlign w:val="center"/>
          </w:tcPr>
          <w:p w14:paraId="6405D8CA" w14:textId="3619BCC3"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14</w:t>
            </w:r>
            <w:r>
              <w:rPr>
                <w:rFonts w:ascii="Tahoma" w:hAnsi="Tahoma" w:cs="Tahoma"/>
                <w:color w:val="auto"/>
                <w:sz w:val="20"/>
                <w:szCs w:val="20"/>
              </w:rPr>
              <w:t>,</w:t>
            </w:r>
            <w:r w:rsidRPr="002C0414">
              <w:rPr>
                <w:rFonts w:ascii="Tahoma" w:hAnsi="Tahoma" w:cs="Tahoma"/>
                <w:color w:val="auto"/>
                <w:sz w:val="20"/>
                <w:szCs w:val="20"/>
              </w:rPr>
              <w:t>181</w:t>
            </w:r>
            <w:r>
              <w:rPr>
                <w:rFonts w:ascii="Tahoma" w:hAnsi="Tahoma" w:cs="Tahoma"/>
                <w:color w:val="auto"/>
                <w:sz w:val="20"/>
                <w:szCs w:val="20"/>
              </w:rPr>
              <w:t>,</w:t>
            </w:r>
            <w:r w:rsidRPr="002C0414">
              <w:rPr>
                <w:rFonts w:ascii="Tahoma" w:hAnsi="Tahoma" w:cs="Tahoma"/>
                <w:color w:val="auto"/>
                <w:sz w:val="20"/>
                <w:szCs w:val="20"/>
              </w:rPr>
              <w:t>297</w:t>
            </w:r>
          </w:p>
        </w:tc>
        <w:tc>
          <w:tcPr>
            <w:tcW w:w="1540" w:type="dxa"/>
            <w:tcBorders>
              <w:bottom w:val="single" w:sz="4" w:space="0" w:color="000000"/>
            </w:tcBorders>
            <w:shd w:val="clear" w:color="auto" w:fill="auto"/>
            <w:vAlign w:val="center"/>
          </w:tcPr>
          <w:p w14:paraId="4F5AB651" w14:textId="55E2E724"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24.0%</w:t>
            </w:r>
          </w:p>
        </w:tc>
        <w:tc>
          <w:tcPr>
            <w:tcW w:w="1541" w:type="dxa"/>
            <w:tcBorders>
              <w:bottom w:val="single" w:sz="4" w:space="0" w:color="000000"/>
            </w:tcBorders>
            <w:shd w:val="clear" w:color="auto" w:fill="auto"/>
            <w:vAlign w:val="center"/>
          </w:tcPr>
          <w:p w14:paraId="661121B5" w14:textId="7287807A"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17,945,282</w:t>
            </w:r>
          </w:p>
        </w:tc>
        <w:tc>
          <w:tcPr>
            <w:tcW w:w="1540" w:type="dxa"/>
            <w:tcBorders>
              <w:bottom w:val="single" w:sz="4" w:space="0" w:color="000000"/>
            </w:tcBorders>
            <w:shd w:val="clear" w:color="auto" w:fill="auto"/>
            <w:vAlign w:val="center"/>
          </w:tcPr>
          <w:p w14:paraId="3A470641" w14:textId="200F81C4"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33.6%</w:t>
            </w:r>
          </w:p>
        </w:tc>
        <w:tc>
          <w:tcPr>
            <w:tcW w:w="1538" w:type="dxa"/>
            <w:tcBorders>
              <w:top w:val="single" w:sz="4" w:space="0" w:color="auto"/>
              <w:left w:val="nil"/>
              <w:bottom w:val="single" w:sz="4" w:space="0" w:color="auto"/>
              <w:right w:val="nil"/>
            </w:tcBorders>
            <w:shd w:val="clear" w:color="auto" w:fill="auto"/>
            <w:vAlign w:val="center"/>
          </w:tcPr>
          <w:p w14:paraId="51C7BBDC" w14:textId="7F4C0399" w:rsidR="00D523E0" w:rsidRPr="00742CD7" w:rsidRDefault="00D523E0" w:rsidP="00D523E0">
            <w:pPr>
              <w:pStyle w:val="Standard"/>
              <w:jc w:val="center"/>
              <w:rPr>
                <w:rFonts w:ascii="Tahoma" w:hAnsi="Tahoma" w:cs="Tahoma"/>
                <w:color w:val="000000"/>
                <w:sz w:val="20"/>
                <w:szCs w:val="20"/>
                <w:lang w:val="en-GB"/>
              </w:rPr>
            </w:pPr>
            <w:r>
              <w:rPr>
                <w:rFonts w:ascii="Tahoma" w:hAnsi="Tahoma" w:cs="Tahoma"/>
                <w:color w:val="auto"/>
                <w:sz w:val="20"/>
                <w:szCs w:val="20"/>
              </w:rPr>
              <w:t>+</w:t>
            </w:r>
            <w:r w:rsidRPr="002C0414">
              <w:rPr>
                <w:rFonts w:ascii="Tahoma" w:hAnsi="Tahoma" w:cs="Tahoma"/>
                <w:color w:val="auto"/>
                <w:sz w:val="20"/>
                <w:szCs w:val="20"/>
              </w:rPr>
              <w:t>26</w:t>
            </w:r>
            <w:r>
              <w:rPr>
                <w:rFonts w:ascii="Tahoma" w:hAnsi="Tahoma" w:cs="Tahoma"/>
                <w:color w:val="auto"/>
                <w:sz w:val="20"/>
                <w:szCs w:val="20"/>
              </w:rPr>
              <w:t>.</w:t>
            </w:r>
            <w:r w:rsidRPr="002C0414">
              <w:rPr>
                <w:rFonts w:ascii="Tahoma" w:hAnsi="Tahoma" w:cs="Tahoma"/>
                <w:color w:val="auto"/>
                <w:sz w:val="20"/>
                <w:szCs w:val="20"/>
              </w:rPr>
              <w:t>5%</w:t>
            </w:r>
          </w:p>
        </w:tc>
      </w:tr>
      <w:tr w:rsidR="00D523E0" w:rsidRPr="00742CD7" w14:paraId="3D300688" w14:textId="77777777" w:rsidTr="00A540E3">
        <w:trPr>
          <w:trHeight w:val="315"/>
          <w:jc w:val="center"/>
        </w:trPr>
        <w:tc>
          <w:tcPr>
            <w:tcW w:w="1541" w:type="dxa"/>
            <w:tcBorders>
              <w:top w:val="single" w:sz="4" w:space="0" w:color="000000"/>
              <w:bottom w:val="single" w:sz="4" w:space="0" w:color="000000"/>
            </w:tcBorders>
            <w:shd w:val="clear" w:color="auto" w:fill="auto"/>
            <w:vAlign w:val="center"/>
          </w:tcPr>
          <w:p w14:paraId="7ACC46F2" w14:textId="0D975016" w:rsidR="00D523E0" w:rsidRPr="00742CD7" w:rsidRDefault="00D523E0" w:rsidP="00D523E0">
            <w:pPr>
              <w:pStyle w:val="Standard"/>
              <w:rPr>
                <w:rFonts w:ascii="Tahoma" w:hAnsi="Tahoma" w:cs="Tahoma"/>
                <w:color w:val="000000"/>
                <w:sz w:val="20"/>
                <w:szCs w:val="20"/>
                <w:lang w:val="en-GB"/>
              </w:rPr>
            </w:pPr>
            <w:r w:rsidRPr="00742CD7">
              <w:rPr>
                <w:rFonts w:ascii="Tahoma" w:hAnsi="Tahoma" w:cs="Tahoma"/>
                <w:color w:val="000000"/>
                <w:sz w:val="20"/>
                <w:szCs w:val="20"/>
                <w:lang w:val="en-GB"/>
              </w:rPr>
              <w:t>Total</w:t>
            </w:r>
          </w:p>
        </w:tc>
        <w:tc>
          <w:tcPr>
            <w:tcW w:w="1540" w:type="dxa"/>
            <w:tcBorders>
              <w:top w:val="single" w:sz="4" w:space="0" w:color="000000"/>
              <w:bottom w:val="single" w:sz="4" w:space="0" w:color="000000"/>
            </w:tcBorders>
            <w:shd w:val="clear" w:color="auto" w:fill="auto"/>
            <w:vAlign w:val="center"/>
          </w:tcPr>
          <w:p w14:paraId="09CA9CFD" w14:textId="00597DBF"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58</w:t>
            </w:r>
            <w:r>
              <w:rPr>
                <w:rFonts w:ascii="Tahoma" w:hAnsi="Tahoma" w:cs="Tahoma"/>
                <w:color w:val="auto"/>
                <w:sz w:val="20"/>
                <w:szCs w:val="20"/>
              </w:rPr>
              <w:t>,</w:t>
            </w:r>
            <w:r w:rsidRPr="002C0414">
              <w:rPr>
                <w:rFonts w:ascii="Tahoma" w:hAnsi="Tahoma" w:cs="Tahoma"/>
                <w:color w:val="auto"/>
                <w:sz w:val="20"/>
                <w:szCs w:val="20"/>
              </w:rPr>
              <w:t>997</w:t>
            </w:r>
            <w:r>
              <w:rPr>
                <w:rFonts w:ascii="Tahoma" w:hAnsi="Tahoma" w:cs="Tahoma"/>
                <w:color w:val="auto"/>
                <w:sz w:val="20"/>
                <w:szCs w:val="20"/>
              </w:rPr>
              <w:t>,</w:t>
            </w:r>
            <w:r w:rsidRPr="002C0414">
              <w:rPr>
                <w:rFonts w:ascii="Tahoma" w:hAnsi="Tahoma" w:cs="Tahoma"/>
                <w:color w:val="auto"/>
                <w:sz w:val="20"/>
                <w:szCs w:val="20"/>
              </w:rPr>
              <w:t>201</w:t>
            </w:r>
          </w:p>
        </w:tc>
        <w:tc>
          <w:tcPr>
            <w:tcW w:w="1540" w:type="dxa"/>
            <w:tcBorders>
              <w:top w:val="single" w:sz="4" w:space="0" w:color="000000"/>
              <w:bottom w:val="single" w:sz="4" w:space="0" w:color="000000"/>
            </w:tcBorders>
            <w:shd w:val="clear" w:color="auto" w:fill="auto"/>
            <w:vAlign w:val="center"/>
          </w:tcPr>
          <w:p w14:paraId="3CF55F1E" w14:textId="77777777"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100%</w:t>
            </w:r>
          </w:p>
        </w:tc>
        <w:tc>
          <w:tcPr>
            <w:tcW w:w="1541" w:type="dxa"/>
            <w:tcBorders>
              <w:top w:val="single" w:sz="4" w:space="0" w:color="000000"/>
              <w:bottom w:val="single" w:sz="4" w:space="0" w:color="000000"/>
            </w:tcBorders>
            <w:shd w:val="clear" w:color="auto" w:fill="auto"/>
            <w:vAlign w:val="center"/>
          </w:tcPr>
          <w:p w14:paraId="2C4EC722" w14:textId="6C1CD4ED"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53,332,659</w:t>
            </w:r>
          </w:p>
        </w:tc>
        <w:tc>
          <w:tcPr>
            <w:tcW w:w="1540" w:type="dxa"/>
            <w:tcBorders>
              <w:top w:val="single" w:sz="4" w:space="0" w:color="000000"/>
              <w:bottom w:val="single" w:sz="4" w:space="0" w:color="000000"/>
            </w:tcBorders>
            <w:shd w:val="clear" w:color="auto" w:fill="auto"/>
            <w:vAlign w:val="center"/>
          </w:tcPr>
          <w:p w14:paraId="653A36E5" w14:textId="77777777" w:rsidR="00D523E0" w:rsidRPr="00742CD7" w:rsidRDefault="00D523E0" w:rsidP="00D523E0">
            <w:pPr>
              <w:pStyle w:val="Standard"/>
              <w:jc w:val="center"/>
              <w:rPr>
                <w:rFonts w:ascii="Tahoma" w:hAnsi="Tahoma" w:cs="Tahoma"/>
                <w:color w:val="000000"/>
                <w:sz w:val="20"/>
                <w:szCs w:val="20"/>
                <w:lang w:val="en-GB"/>
              </w:rPr>
            </w:pPr>
            <w:r w:rsidRPr="00742CD7">
              <w:rPr>
                <w:rFonts w:ascii="Tahoma" w:hAnsi="Tahoma" w:cs="Tahoma"/>
                <w:color w:val="000000"/>
                <w:sz w:val="20"/>
                <w:szCs w:val="20"/>
                <w:lang w:val="en-GB"/>
              </w:rPr>
              <w:t>100%</w:t>
            </w:r>
          </w:p>
        </w:tc>
        <w:tc>
          <w:tcPr>
            <w:tcW w:w="1538" w:type="dxa"/>
            <w:tcBorders>
              <w:top w:val="single" w:sz="4" w:space="0" w:color="auto"/>
              <w:left w:val="nil"/>
              <w:bottom w:val="single" w:sz="4" w:space="0" w:color="auto"/>
              <w:right w:val="nil"/>
            </w:tcBorders>
            <w:shd w:val="clear" w:color="auto" w:fill="auto"/>
            <w:vAlign w:val="center"/>
          </w:tcPr>
          <w:p w14:paraId="0558DD57" w14:textId="17B082C6" w:rsidR="00D523E0" w:rsidRPr="00742CD7" w:rsidRDefault="00D523E0" w:rsidP="00D523E0">
            <w:pPr>
              <w:pStyle w:val="Standard"/>
              <w:jc w:val="center"/>
              <w:rPr>
                <w:rFonts w:ascii="Tahoma" w:hAnsi="Tahoma" w:cs="Tahoma"/>
                <w:color w:val="000000"/>
                <w:sz w:val="20"/>
                <w:szCs w:val="20"/>
                <w:lang w:val="en-GB"/>
              </w:rPr>
            </w:pPr>
            <w:r w:rsidRPr="002C0414">
              <w:rPr>
                <w:rFonts w:ascii="Tahoma" w:hAnsi="Tahoma" w:cs="Tahoma"/>
                <w:color w:val="auto"/>
                <w:sz w:val="20"/>
                <w:szCs w:val="20"/>
              </w:rPr>
              <w:t>-9</w:t>
            </w:r>
            <w:r>
              <w:rPr>
                <w:rFonts w:ascii="Tahoma" w:hAnsi="Tahoma" w:cs="Tahoma"/>
                <w:color w:val="auto"/>
                <w:sz w:val="20"/>
                <w:szCs w:val="20"/>
              </w:rPr>
              <w:t>.</w:t>
            </w:r>
            <w:r w:rsidRPr="002C0414">
              <w:rPr>
                <w:rFonts w:ascii="Tahoma" w:hAnsi="Tahoma" w:cs="Tahoma"/>
                <w:color w:val="auto"/>
                <w:sz w:val="20"/>
                <w:szCs w:val="20"/>
              </w:rPr>
              <w:t>6%</w:t>
            </w:r>
          </w:p>
        </w:tc>
      </w:tr>
    </w:tbl>
    <w:p w14:paraId="76776486" w14:textId="790345BD" w:rsidR="00E559B2" w:rsidRPr="00742CD7" w:rsidRDefault="00BC011C" w:rsidP="00E559B2">
      <w:pPr>
        <w:pStyle w:val="Standard"/>
        <w:jc w:val="center"/>
        <w:rPr>
          <w:rFonts w:ascii="Tahoma" w:hAnsi="Tahoma" w:cs="Tahoma"/>
          <w:sz w:val="20"/>
          <w:szCs w:val="20"/>
          <w:lang w:val="en-GB"/>
        </w:rPr>
      </w:pPr>
      <w:r w:rsidRPr="00742CD7">
        <w:rPr>
          <w:rFonts w:ascii="Tahoma" w:hAnsi="Tahoma" w:cs="Tahoma"/>
          <w:sz w:val="20"/>
          <w:szCs w:val="20"/>
          <w:lang w:val="en-GB"/>
        </w:rPr>
        <w:t>Source</w:t>
      </w:r>
      <w:r w:rsidR="00E559B2" w:rsidRPr="00742CD7">
        <w:rPr>
          <w:rFonts w:ascii="Tahoma" w:hAnsi="Tahoma" w:cs="Tahoma"/>
          <w:sz w:val="20"/>
          <w:szCs w:val="20"/>
          <w:lang w:val="en-GB"/>
        </w:rPr>
        <w:t xml:space="preserve">: </w:t>
      </w:r>
      <w:r w:rsidR="00E559B2" w:rsidRPr="00742CD7">
        <w:rPr>
          <w:rFonts w:ascii="Tahoma" w:hAnsi="Tahoma" w:cs="Tahoma"/>
          <w:i/>
          <w:iCs/>
          <w:sz w:val="20"/>
          <w:szCs w:val="20"/>
          <w:lang w:val="en-GB"/>
        </w:rPr>
        <w:t>Fondazione Leone Moressa</w:t>
      </w:r>
      <w:r w:rsidRPr="00742CD7">
        <w:rPr>
          <w:rFonts w:ascii="Tahoma" w:hAnsi="Tahoma" w:cs="Tahoma"/>
          <w:i/>
          <w:iCs/>
          <w:sz w:val="20"/>
          <w:szCs w:val="20"/>
          <w:lang w:val="en-GB"/>
        </w:rPr>
        <w:t xml:space="preserve"> Foundation elaborations on</w:t>
      </w:r>
      <w:r w:rsidR="00E559B2" w:rsidRPr="00742CD7">
        <w:rPr>
          <w:rFonts w:ascii="Tahoma" w:hAnsi="Tahoma" w:cs="Tahoma"/>
          <w:i/>
          <w:iCs/>
          <w:sz w:val="20"/>
          <w:szCs w:val="20"/>
          <w:lang w:val="en-GB"/>
        </w:rPr>
        <w:t xml:space="preserve"> Eurostat</w:t>
      </w:r>
      <w:r w:rsidRPr="00742CD7">
        <w:rPr>
          <w:rFonts w:ascii="Tahoma" w:hAnsi="Tahoma" w:cs="Tahoma"/>
          <w:i/>
          <w:iCs/>
          <w:sz w:val="20"/>
          <w:szCs w:val="20"/>
          <w:lang w:val="en-GB"/>
        </w:rPr>
        <w:t xml:space="preserve"> data</w:t>
      </w:r>
    </w:p>
    <w:p w14:paraId="5D584FB4" w14:textId="77777777" w:rsidR="00E559B2" w:rsidRPr="00742CD7" w:rsidRDefault="00E559B2" w:rsidP="00AD35F7">
      <w:pPr>
        <w:spacing w:after="0" w:line="360" w:lineRule="auto"/>
        <w:jc w:val="both"/>
        <w:rPr>
          <w:rFonts w:ascii="Tahoma" w:hAnsi="Tahoma" w:cs="Tahoma"/>
          <w:color w:val="auto"/>
          <w:sz w:val="20"/>
          <w:szCs w:val="20"/>
          <w:lang w:val="en-GB"/>
        </w:rPr>
      </w:pPr>
    </w:p>
    <w:p w14:paraId="1FF6A34E" w14:textId="76306550" w:rsidR="001C4E84" w:rsidRPr="00742CD7" w:rsidRDefault="00BC011C" w:rsidP="00FE4329">
      <w:pPr>
        <w:spacing w:after="0" w:line="360" w:lineRule="auto"/>
        <w:jc w:val="both"/>
        <w:rPr>
          <w:rFonts w:ascii="Tahoma" w:hAnsi="Tahoma" w:cs="Tahoma"/>
          <w:sz w:val="20"/>
          <w:szCs w:val="20"/>
          <w:lang w:val="en-GB"/>
        </w:rPr>
      </w:pPr>
      <w:r w:rsidRPr="00742CD7">
        <w:rPr>
          <w:rFonts w:ascii="Tahoma" w:hAnsi="Tahoma" w:cs="Tahoma"/>
          <w:sz w:val="20"/>
          <w:szCs w:val="20"/>
          <w:lang w:val="en-GB"/>
        </w:rPr>
        <w:t>Today, the immigrant population represents a significant component of the demographic trend</w:t>
      </w:r>
      <w:r w:rsidR="00AD35F7" w:rsidRPr="00742CD7">
        <w:rPr>
          <w:rFonts w:ascii="Tahoma" w:hAnsi="Tahoma" w:cs="Tahoma"/>
          <w:sz w:val="20"/>
          <w:szCs w:val="20"/>
          <w:lang w:val="en-GB"/>
        </w:rPr>
        <w:t xml:space="preserve">, </w:t>
      </w:r>
      <w:r w:rsidRPr="00742CD7">
        <w:rPr>
          <w:rFonts w:ascii="Tahoma" w:hAnsi="Tahoma" w:cs="Tahoma"/>
          <w:sz w:val="20"/>
          <w:szCs w:val="20"/>
          <w:lang w:val="en-GB"/>
        </w:rPr>
        <w:t>as it shows a lower average age than the autochthonous counterpart</w:t>
      </w:r>
      <w:r w:rsidR="00AD35F7" w:rsidRPr="00742CD7">
        <w:rPr>
          <w:rFonts w:ascii="Tahoma" w:hAnsi="Tahoma" w:cs="Tahoma"/>
          <w:sz w:val="20"/>
          <w:szCs w:val="20"/>
          <w:lang w:val="en-GB"/>
        </w:rPr>
        <w:t xml:space="preserve"> (35</w:t>
      </w:r>
      <w:r w:rsidRPr="00742CD7">
        <w:rPr>
          <w:rFonts w:ascii="Tahoma" w:hAnsi="Tahoma" w:cs="Tahoma"/>
          <w:sz w:val="20"/>
          <w:szCs w:val="20"/>
          <w:lang w:val="en-GB"/>
        </w:rPr>
        <w:t>.</w:t>
      </w:r>
      <w:r w:rsidR="00D62714">
        <w:rPr>
          <w:rFonts w:ascii="Tahoma" w:hAnsi="Tahoma" w:cs="Tahoma"/>
          <w:sz w:val="20"/>
          <w:szCs w:val="20"/>
          <w:lang w:val="en-GB"/>
        </w:rPr>
        <w:t>7</w:t>
      </w:r>
      <w:r w:rsidR="00AD35F7" w:rsidRPr="00742CD7">
        <w:rPr>
          <w:rFonts w:ascii="Tahoma" w:hAnsi="Tahoma" w:cs="Tahoma"/>
          <w:sz w:val="20"/>
          <w:szCs w:val="20"/>
          <w:lang w:val="en-GB"/>
        </w:rPr>
        <w:t xml:space="preserve"> </w:t>
      </w:r>
      <w:r w:rsidRPr="00742CD7">
        <w:rPr>
          <w:rFonts w:ascii="Tahoma" w:hAnsi="Tahoma" w:cs="Tahoma"/>
          <w:sz w:val="20"/>
          <w:szCs w:val="20"/>
          <w:lang w:val="en-GB"/>
        </w:rPr>
        <w:t>years of age against</w:t>
      </w:r>
      <w:r w:rsidR="00AD35F7" w:rsidRPr="00742CD7">
        <w:rPr>
          <w:rFonts w:ascii="Tahoma" w:hAnsi="Tahoma" w:cs="Tahoma"/>
          <w:sz w:val="20"/>
          <w:szCs w:val="20"/>
          <w:lang w:val="en-GB"/>
        </w:rPr>
        <w:t xml:space="preserve"> 46</w:t>
      </w:r>
      <w:r w:rsidRPr="00742CD7">
        <w:rPr>
          <w:rFonts w:ascii="Tahoma" w:hAnsi="Tahoma" w:cs="Tahoma"/>
          <w:sz w:val="20"/>
          <w:szCs w:val="20"/>
          <w:lang w:val="en-GB"/>
        </w:rPr>
        <w:t>.</w:t>
      </w:r>
      <w:r w:rsidR="00AD35F7" w:rsidRPr="00742CD7">
        <w:rPr>
          <w:rFonts w:ascii="Tahoma" w:hAnsi="Tahoma" w:cs="Tahoma"/>
          <w:sz w:val="20"/>
          <w:szCs w:val="20"/>
          <w:lang w:val="en-GB"/>
        </w:rPr>
        <w:t xml:space="preserve">9) </w:t>
      </w:r>
      <w:r w:rsidRPr="00742CD7">
        <w:rPr>
          <w:rFonts w:ascii="Tahoma" w:hAnsi="Tahoma" w:cs="Tahoma"/>
          <w:sz w:val="20"/>
          <w:szCs w:val="20"/>
          <w:lang w:val="en-GB"/>
        </w:rPr>
        <w:t>and a way higher birth rate</w:t>
      </w:r>
      <w:r w:rsidR="00AD35F7" w:rsidRPr="00742CD7">
        <w:rPr>
          <w:rFonts w:ascii="Tahoma" w:hAnsi="Tahoma" w:cs="Tahoma"/>
          <w:sz w:val="20"/>
          <w:szCs w:val="20"/>
          <w:lang w:val="en-GB"/>
        </w:rPr>
        <w:t xml:space="preserve"> (10</w:t>
      </w:r>
      <w:r w:rsidRPr="00742CD7">
        <w:rPr>
          <w:rFonts w:ascii="Tahoma" w:hAnsi="Tahoma" w:cs="Tahoma"/>
          <w:sz w:val="20"/>
          <w:szCs w:val="20"/>
          <w:lang w:val="en-GB"/>
        </w:rPr>
        <w:t>.</w:t>
      </w:r>
      <w:r w:rsidR="00D62714">
        <w:rPr>
          <w:rFonts w:ascii="Tahoma" w:hAnsi="Tahoma" w:cs="Tahoma"/>
          <w:sz w:val="20"/>
          <w:szCs w:val="20"/>
          <w:lang w:val="en-GB"/>
        </w:rPr>
        <w:t>4</w:t>
      </w:r>
      <w:r w:rsidR="00AD35F7" w:rsidRPr="00742CD7">
        <w:rPr>
          <w:rFonts w:ascii="Tahoma" w:hAnsi="Tahoma" w:cs="Tahoma"/>
          <w:sz w:val="20"/>
          <w:szCs w:val="20"/>
          <w:lang w:val="en-GB"/>
        </w:rPr>
        <w:t xml:space="preserve"> </w:t>
      </w:r>
      <w:r w:rsidRPr="00742CD7">
        <w:rPr>
          <w:rFonts w:ascii="Tahoma" w:hAnsi="Tahoma" w:cs="Tahoma"/>
          <w:sz w:val="20"/>
          <w:szCs w:val="20"/>
          <w:lang w:val="en-GB"/>
        </w:rPr>
        <w:t xml:space="preserve">births every thousand inhabitants among foreigners, </w:t>
      </w:r>
      <w:r w:rsidR="00AD35F7" w:rsidRPr="00742CD7">
        <w:rPr>
          <w:rFonts w:ascii="Tahoma" w:hAnsi="Tahoma" w:cs="Tahoma"/>
          <w:sz w:val="20"/>
          <w:szCs w:val="20"/>
          <w:lang w:val="en-GB"/>
        </w:rPr>
        <w:t>6</w:t>
      </w:r>
      <w:r w:rsidRPr="00742CD7">
        <w:rPr>
          <w:rFonts w:ascii="Tahoma" w:hAnsi="Tahoma" w:cs="Tahoma"/>
          <w:sz w:val="20"/>
          <w:szCs w:val="20"/>
          <w:lang w:val="en-GB"/>
        </w:rPr>
        <w:t>.</w:t>
      </w:r>
      <w:r w:rsidR="00AD35F7" w:rsidRPr="00742CD7">
        <w:rPr>
          <w:rFonts w:ascii="Tahoma" w:hAnsi="Tahoma" w:cs="Tahoma"/>
          <w:sz w:val="20"/>
          <w:szCs w:val="20"/>
          <w:lang w:val="en-GB"/>
        </w:rPr>
        <w:t xml:space="preserve">3 </w:t>
      </w:r>
      <w:r w:rsidRPr="00742CD7">
        <w:rPr>
          <w:rFonts w:ascii="Tahoma" w:hAnsi="Tahoma" w:cs="Tahoma"/>
          <w:sz w:val="20"/>
          <w:szCs w:val="20"/>
          <w:lang w:val="en-GB"/>
        </w:rPr>
        <w:t>among Italians</w:t>
      </w:r>
      <w:r w:rsidR="00AD35F7" w:rsidRPr="00742CD7">
        <w:rPr>
          <w:rFonts w:ascii="Tahoma" w:hAnsi="Tahoma" w:cs="Tahoma"/>
          <w:sz w:val="20"/>
          <w:szCs w:val="20"/>
          <w:lang w:val="en-GB"/>
        </w:rPr>
        <w:t xml:space="preserve">). </w:t>
      </w:r>
      <w:r w:rsidRPr="00742CD7">
        <w:rPr>
          <w:rFonts w:ascii="Tahoma" w:hAnsi="Tahoma" w:cs="Tahoma"/>
          <w:sz w:val="20"/>
          <w:szCs w:val="20"/>
          <w:lang w:val="en-GB"/>
        </w:rPr>
        <w:t>Besides the natural growth rate</w:t>
      </w:r>
      <w:r w:rsidR="00AD35F7" w:rsidRPr="00742CD7">
        <w:rPr>
          <w:rFonts w:ascii="Tahoma" w:hAnsi="Tahoma" w:cs="Tahoma"/>
          <w:sz w:val="20"/>
          <w:szCs w:val="20"/>
          <w:lang w:val="en-GB"/>
        </w:rPr>
        <w:t xml:space="preserve"> (</w:t>
      </w:r>
      <w:r w:rsidRPr="00742CD7">
        <w:rPr>
          <w:rFonts w:ascii="Tahoma" w:hAnsi="Tahoma" w:cs="Tahoma"/>
          <w:sz w:val="20"/>
          <w:szCs w:val="20"/>
          <w:lang w:val="en-GB"/>
        </w:rPr>
        <w:t>the gap between births and deaths</w:t>
      </w:r>
      <w:r w:rsidR="00AD35F7" w:rsidRPr="00742CD7">
        <w:rPr>
          <w:rFonts w:ascii="Tahoma" w:hAnsi="Tahoma" w:cs="Tahoma"/>
          <w:sz w:val="20"/>
          <w:szCs w:val="20"/>
          <w:lang w:val="en-GB"/>
        </w:rPr>
        <w:t xml:space="preserve">), </w:t>
      </w:r>
      <w:r w:rsidRPr="00742CD7">
        <w:rPr>
          <w:rFonts w:ascii="Tahoma" w:hAnsi="Tahoma" w:cs="Tahoma"/>
          <w:sz w:val="20"/>
          <w:szCs w:val="20"/>
          <w:lang w:val="en-GB"/>
        </w:rPr>
        <w:t>the migratory wroth rate</w:t>
      </w:r>
      <w:r w:rsidR="00AD35F7" w:rsidRPr="00742CD7">
        <w:rPr>
          <w:rFonts w:ascii="Tahoma" w:hAnsi="Tahoma" w:cs="Tahoma"/>
          <w:sz w:val="20"/>
          <w:szCs w:val="20"/>
          <w:lang w:val="en-GB"/>
        </w:rPr>
        <w:t xml:space="preserve"> (</w:t>
      </w:r>
      <w:r w:rsidRPr="00742CD7">
        <w:rPr>
          <w:rFonts w:ascii="Tahoma" w:hAnsi="Tahoma" w:cs="Tahoma"/>
          <w:sz w:val="20"/>
          <w:szCs w:val="20"/>
          <w:lang w:val="en-GB"/>
        </w:rPr>
        <w:t xml:space="preserve">arrivals </w:t>
      </w:r>
      <w:r w:rsidR="00AD35F7" w:rsidRPr="00742CD7">
        <w:rPr>
          <w:rFonts w:ascii="Tahoma" w:hAnsi="Tahoma" w:cs="Tahoma"/>
          <w:sz w:val="20"/>
          <w:szCs w:val="20"/>
          <w:lang w:val="en-GB"/>
        </w:rPr>
        <w:t xml:space="preserve">– </w:t>
      </w:r>
      <w:r w:rsidR="00FA2B82" w:rsidRPr="00742CD7">
        <w:rPr>
          <w:rFonts w:ascii="Tahoma" w:hAnsi="Tahoma" w:cs="Tahoma"/>
          <w:sz w:val="20"/>
          <w:szCs w:val="20"/>
          <w:lang w:val="en-GB"/>
        </w:rPr>
        <w:t>departures</w:t>
      </w:r>
      <w:r w:rsidR="00AD35F7" w:rsidRPr="00742CD7">
        <w:rPr>
          <w:rFonts w:ascii="Tahoma" w:hAnsi="Tahoma" w:cs="Tahoma"/>
          <w:sz w:val="20"/>
          <w:szCs w:val="20"/>
          <w:lang w:val="en-GB"/>
        </w:rPr>
        <w:t xml:space="preserve">) </w:t>
      </w:r>
      <w:r w:rsidR="00FA2B82" w:rsidRPr="00742CD7">
        <w:rPr>
          <w:rFonts w:ascii="Tahoma" w:hAnsi="Tahoma" w:cs="Tahoma"/>
          <w:sz w:val="20"/>
          <w:szCs w:val="20"/>
          <w:lang w:val="en-GB"/>
        </w:rPr>
        <w:t>is positive for foreigners and negative for Italians</w:t>
      </w:r>
      <w:r w:rsidR="00AD35F7" w:rsidRPr="00742CD7">
        <w:rPr>
          <w:rFonts w:ascii="Tahoma" w:hAnsi="Tahoma" w:cs="Tahoma"/>
          <w:sz w:val="20"/>
          <w:szCs w:val="20"/>
          <w:lang w:val="en-GB"/>
        </w:rPr>
        <w:t xml:space="preserve">. </w:t>
      </w:r>
      <w:r w:rsidR="00FA2B82" w:rsidRPr="00742CD7">
        <w:rPr>
          <w:rFonts w:ascii="Tahoma" w:hAnsi="Tahoma" w:cs="Tahoma"/>
          <w:sz w:val="20"/>
          <w:szCs w:val="20"/>
          <w:lang w:val="en-GB"/>
        </w:rPr>
        <w:t>In other words, even now, the immigrant population is curbing the undergoing demographic winter</w:t>
      </w:r>
      <w:r w:rsidR="00AD35F7" w:rsidRPr="00742CD7">
        <w:rPr>
          <w:rFonts w:ascii="Tahoma" w:hAnsi="Tahoma" w:cs="Tahoma"/>
          <w:sz w:val="20"/>
          <w:szCs w:val="20"/>
          <w:lang w:val="en-GB"/>
        </w:rPr>
        <w:t xml:space="preserve">, </w:t>
      </w:r>
      <w:r w:rsidR="00FA2B82" w:rsidRPr="00742CD7">
        <w:rPr>
          <w:rFonts w:ascii="Tahoma" w:hAnsi="Tahoma" w:cs="Tahoma"/>
          <w:sz w:val="20"/>
          <w:szCs w:val="20"/>
          <w:lang w:val="en-GB"/>
        </w:rPr>
        <w:t xml:space="preserve">with consequences for the economic, caring and fiscal sectors too. </w:t>
      </w:r>
    </w:p>
    <w:p w14:paraId="53E3A4ED" w14:textId="77777777" w:rsidR="00E559B2" w:rsidRPr="00742CD7" w:rsidRDefault="00E559B2" w:rsidP="009033A9">
      <w:pPr>
        <w:spacing w:after="0" w:line="360" w:lineRule="auto"/>
        <w:rPr>
          <w:rFonts w:ascii="Tahoma" w:hAnsi="Tahoma" w:cs="Tahoma"/>
          <w:b/>
          <w:color w:val="auto"/>
          <w:sz w:val="20"/>
          <w:szCs w:val="20"/>
          <w:lang w:val="en-GB"/>
        </w:rPr>
      </w:pPr>
    </w:p>
    <w:p w14:paraId="5F3AFDC6" w14:textId="77777777" w:rsidR="00E559B2" w:rsidRPr="00742CD7" w:rsidRDefault="00E559B2" w:rsidP="009033A9">
      <w:pPr>
        <w:spacing w:after="0" w:line="360" w:lineRule="auto"/>
        <w:rPr>
          <w:rFonts w:ascii="Tahoma" w:hAnsi="Tahoma" w:cs="Tahoma"/>
          <w:b/>
          <w:color w:val="auto"/>
          <w:sz w:val="20"/>
          <w:szCs w:val="20"/>
          <w:lang w:val="en-GB"/>
        </w:rPr>
      </w:pPr>
    </w:p>
    <w:p w14:paraId="7526816C" w14:textId="15F4FA8D" w:rsidR="0052543D" w:rsidRPr="00742CD7" w:rsidRDefault="00AD35F7" w:rsidP="009033A9">
      <w:pPr>
        <w:spacing w:after="0" w:line="360" w:lineRule="auto"/>
        <w:rPr>
          <w:rFonts w:ascii="Tahoma" w:hAnsi="Tahoma" w:cs="Tahoma"/>
          <w:b/>
          <w:color w:val="auto"/>
          <w:sz w:val="20"/>
          <w:szCs w:val="20"/>
          <w:lang w:val="en-GB"/>
        </w:rPr>
      </w:pPr>
      <w:r w:rsidRPr="00742CD7">
        <w:rPr>
          <w:rFonts w:ascii="Tahoma" w:hAnsi="Tahoma" w:cs="Tahoma"/>
          <w:b/>
          <w:color w:val="auto"/>
          <w:sz w:val="20"/>
          <w:szCs w:val="20"/>
          <w:lang w:val="en-GB"/>
        </w:rPr>
        <w:lastRenderedPageBreak/>
        <w:t>2</w:t>
      </w:r>
      <w:r w:rsidR="009033A9" w:rsidRPr="00742CD7">
        <w:rPr>
          <w:rFonts w:ascii="Tahoma" w:hAnsi="Tahoma" w:cs="Tahoma"/>
          <w:b/>
          <w:color w:val="auto"/>
          <w:sz w:val="20"/>
          <w:szCs w:val="20"/>
          <w:lang w:val="en-GB"/>
        </w:rPr>
        <w:t xml:space="preserve">. </w:t>
      </w:r>
      <w:r w:rsidR="00BC011C" w:rsidRPr="00742CD7">
        <w:rPr>
          <w:rFonts w:ascii="Tahoma" w:hAnsi="Tahoma" w:cs="Tahoma"/>
          <w:b/>
          <w:color w:val="auto"/>
          <w:sz w:val="20"/>
          <w:szCs w:val="20"/>
          <w:lang w:val="en-GB"/>
        </w:rPr>
        <w:t>International demographic dynamics</w:t>
      </w:r>
    </w:p>
    <w:p w14:paraId="61400D09" w14:textId="77777777" w:rsidR="0052543D" w:rsidRPr="00742CD7" w:rsidRDefault="0052543D" w:rsidP="00543203">
      <w:pPr>
        <w:spacing w:after="0" w:line="360" w:lineRule="auto"/>
        <w:rPr>
          <w:rFonts w:ascii="Tahoma" w:hAnsi="Tahoma" w:cs="Tahoma"/>
          <w:i/>
          <w:color w:val="auto"/>
          <w:sz w:val="20"/>
          <w:szCs w:val="20"/>
          <w:lang w:val="en-GB"/>
        </w:rPr>
      </w:pPr>
    </w:p>
    <w:p w14:paraId="5298797F" w14:textId="3F24B149"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After the Covid-19 pandemic, Italy, like many other European countries, recorded a significant increase in residence permits. In particular, work-related permits began to rise again after a decade of very low numbers. In 2022, the effects of the 2021 Flow Decree (</w:t>
      </w:r>
      <w:proofErr w:type="spellStart"/>
      <w:r w:rsidRPr="00742CD7">
        <w:rPr>
          <w:rFonts w:ascii="Tahoma" w:hAnsi="Tahoma" w:cs="Tahoma"/>
          <w:i/>
          <w:iCs/>
          <w:color w:val="auto"/>
          <w:sz w:val="20"/>
          <w:szCs w:val="20"/>
          <w:lang w:val="en-GB"/>
        </w:rPr>
        <w:t>Decreto</w:t>
      </w:r>
      <w:proofErr w:type="spellEnd"/>
      <w:r w:rsidRPr="00742CD7">
        <w:rPr>
          <w:rFonts w:ascii="Tahoma" w:hAnsi="Tahoma" w:cs="Tahoma"/>
          <w:i/>
          <w:iCs/>
          <w:color w:val="auto"/>
          <w:sz w:val="20"/>
          <w:szCs w:val="20"/>
          <w:lang w:val="en-GB"/>
        </w:rPr>
        <w:t xml:space="preserve"> </w:t>
      </w:r>
      <w:proofErr w:type="spellStart"/>
      <w:r w:rsidRPr="00742CD7">
        <w:rPr>
          <w:rFonts w:ascii="Tahoma" w:hAnsi="Tahoma" w:cs="Tahoma"/>
          <w:i/>
          <w:iCs/>
          <w:color w:val="auto"/>
          <w:sz w:val="20"/>
          <w:szCs w:val="20"/>
          <w:lang w:val="en-GB"/>
        </w:rPr>
        <w:t>Flussi</w:t>
      </w:r>
      <w:proofErr w:type="spellEnd"/>
      <w:r w:rsidRPr="00742CD7">
        <w:rPr>
          <w:rFonts w:ascii="Tahoma" w:hAnsi="Tahoma" w:cs="Tahoma"/>
          <w:color w:val="auto"/>
          <w:sz w:val="20"/>
          <w:szCs w:val="20"/>
          <w:lang w:val="en-GB"/>
        </w:rPr>
        <w:t xml:space="preserve">, </w:t>
      </w:r>
      <w:r w:rsidRPr="00FA2B82">
        <w:rPr>
          <w:rFonts w:ascii="Tahoma" w:hAnsi="Tahoma" w:cs="Tahoma"/>
          <w:color w:val="auto"/>
          <w:sz w:val="20"/>
          <w:szCs w:val="20"/>
          <w:lang w:val="en-GB"/>
        </w:rPr>
        <w:t>Draghi government), which had planned for 69,000 work-related entries for the following year, were observed. In 2022, there were about 67,000 work permits, roughly one-fifth of the 338,000 total entries.</w:t>
      </w:r>
    </w:p>
    <w:p w14:paraId="3E79D840" w14:textId="77777777"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The main reason for entering Italy remains family reunification (38.9%), but the proportion of work-related entries has returned to near 20%, a level not seen since 2014. Despite this trend reversal, Italy still recorded one of the lowest percentages of work permits in Europe in 2022. In Italy, work-related entries accounted for 19.8% of total entries, compared to an EU average of 35.8%. Several countries, especially in Eastern Europe, report percentages above 70%.</w:t>
      </w:r>
    </w:p>
    <w:p w14:paraId="6369E44B" w14:textId="77777777"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Even when comparing work permits per resident population, Italy's average is among the lowest in Europe: 11.3 per 10,000 inhabitants. The EU average, by contrast, is 27.8 work permits per 10,000 inhabitants. Malta even records a value of 528.8 work permits per 10,000 inhabitants. Cyprus, Croatia, Poland, and Slovenia all exceed the “100” mark.</w:t>
      </w:r>
    </w:p>
    <w:p w14:paraId="7067F14D" w14:textId="77777777"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In Europe, the country that attracts the most non-EU workers is Poland. In 2022, Spain recorded 145,000 work-related entries. Germany also saw significant numbers, with 82,000 entries. Italy follows with 67,000 work-related entries. However, Italy is the country that has seen the largest increase compared to 2019, when there were just 11,000 work permits.</w:t>
      </w:r>
    </w:p>
    <w:p w14:paraId="00EB4318" w14:textId="77777777" w:rsidR="00BE124B" w:rsidRPr="00742CD7" w:rsidRDefault="00BE124B" w:rsidP="00FA2B82">
      <w:pPr>
        <w:spacing w:after="0" w:line="360" w:lineRule="auto"/>
        <w:jc w:val="both"/>
        <w:rPr>
          <w:rFonts w:ascii="Tahoma" w:hAnsi="Tahoma" w:cs="Tahoma"/>
          <w:color w:val="auto"/>
          <w:sz w:val="20"/>
          <w:szCs w:val="20"/>
          <w:lang w:val="en-GB"/>
        </w:rPr>
      </w:pPr>
    </w:p>
    <w:p w14:paraId="428D5A4B" w14:textId="77777777" w:rsidR="00BE124B" w:rsidRPr="00742CD7"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 xml:space="preserve">Throughout Europe, there is a trend of increasing legal migration for work, necessary to meet labour needs. Italy's commitment, with 82,000 entries expected under the 2022 Decree (plus an additional 40,000 seasonal entries), aligns with this trend. These numbers have been further boosted by the Decree of the President of the Council of Ministers on 27 September 2023, "Programming of legal entry flows into Italy of foreign workers for the three-year period 2023-2025" – the so-called 2023-2025 Three-Year Flow Decree. This provision allows for the entry into Italy of 452,000 foreign citizens for seasonal and non-seasonal subordinate work and self-employment, divided as follows: </w:t>
      </w:r>
    </w:p>
    <w:p w14:paraId="47E4AB75" w14:textId="77777777" w:rsidR="00BE124B" w:rsidRPr="00742CD7"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 xml:space="preserve">a) 136,000 foreign citizens for the year 2023; </w:t>
      </w:r>
    </w:p>
    <w:p w14:paraId="53280B3E" w14:textId="77777777" w:rsidR="00BE124B" w:rsidRPr="00742CD7"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 xml:space="preserve">b) 151,000 foreign citizens for the year 2024; </w:t>
      </w:r>
    </w:p>
    <w:p w14:paraId="5EA111EE" w14:textId="2A928C95"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c) 165,000 foreign citizens for the year 2025.</w:t>
      </w:r>
    </w:p>
    <w:p w14:paraId="6439B425" w14:textId="77777777"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 xml:space="preserve">The DPCM distributes these quotas among sectors, types of work, and workers, also indicating the application schedule for employers. Among the new professions that may be requested, along with electricians and plumbers, a specific quota is reactivated for workers in the family care and social-healthcare sectors. Additionally, there is a particular need for workers in passenger transport by bus and fishing, which are now included. For non-seasonal self-employment and subordinate work, the sectors include third-party road haulage, </w:t>
      </w:r>
      <w:r w:rsidRPr="00FA2B82">
        <w:rPr>
          <w:rFonts w:ascii="Tahoma" w:hAnsi="Tahoma" w:cs="Tahoma"/>
          <w:color w:val="auto"/>
          <w:sz w:val="20"/>
          <w:szCs w:val="20"/>
          <w:lang w:val="en-GB"/>
        </w:rPr>
        <w:lastRenderedPageBreak/>
        <w:t>construction, tourism-hotel, mechanics, telecommunications, food, and shipbuilding; for seasonal subordinate work, the agricultural and tourism-hotel sectors.</w:t>
      </w:r>
    </w:p>
    <w:p w14:paraId="14C0E3BC" w14:textId="77777777" w:rsidR="00FA2B82" w:rsidRPr="00FA2B82" w:rsidRDefault="00FA2B82" w:rsidP="00FA2B82">
      <w:pPr>
        <w:spacing w:after="0" w:line="360" w:lineRule="auto"/>
        <w:jc w:val="both"/>
        <w:rPr>
          <w:rFonts w:ascii="Tahoma" w:hAnsi="Tahoma" w:cs="Tahoma"/>
          <w:color w:val="auto"/>
          <w:sz w:val="20"/>
          <w:szCs w:val="20"/>
          <w:lang w:val="en-GB"/>
        </w:rPr>
      </w:pPr>
      <w:r w:rsidRPr="00FA2B82">
        <w:rPr>
          <w:rFonts w:ascii="Tahoma" w:hAnsi="Tahoma" w:cs="Tahoma"/>
          <w:color w:val="auto"/>
          <w:sz w:val="20"/>
          <w:szCs w:val="20"/>
          <w:lang w:val="en-GB"/>
        </w:rPr>
        <w:t>Within the quotas for agriculture and tourism, specific quotas are reserved for workers from countries of origin or transit that sign agreements to facilitate regular migration and combat irregular migration, and whose requests for authorisation to enter Italy for seasonal work, including multi-year, are submitted by the labour organisations indicated in the decree and most representative at the national level. These organisations undertake to oversee the conclusion of the recruitment process of workers up to the actual signing of employment contracts, including mandatory communications.</w:t>
      </w:r>
    </w:p>
    <w:p w14:paraId="46ED532D" w14:textId="77777777" w:rsidR="00FA2B82" w:rsidRPr="00FA2B82" w:rsidRDefault="00FA2B82" w:rsidP="00FA2B82">
      <w:pPr>
        <w:spacing w:after="0" w:line="360" w:lineRule="auto"/>
        <w:rPr>
          <w:rFonts w:ascii="Tahoma" w:hAnsi="Tahoma" w:cs="Tahoma"/>
          <w:color w:val="auto"/>
          <w:sz w:val="20"/>
          <w:szCs w:val="20"/>
          <w:lang w:val="en-GB"/>
        </w:rPr>
      </w:pPr>
      <w:r w:rsidRPr="00FA2B82">
        <w:rPr>
          <w:rFonts w:ascii="Tahoma" w:hAnsi="Tahoma" w:cs="Tahoma"/>
          <w:color w:val="auto"/>
          <w:sz w:val="20"/>
          <w:szCs w:val="20"/>
          <w:lang w:val="en-GB"/>
        </w:rPr>
        <w:t>The historical series clearly shows how the increase in entry quotas is a recent development after the substantial immobility of the period between 2014 and 2020. Although a significant portion is reserved for seasonal workers, a positive economic and fiscal contribution from the new arrivals is expected.</w:t>
      </w:r>
    </w:p>
    <w:p w14:paraId="71A7197D" w14:textId="77777777" w:rsidR="00E559B2" w:rsidRPr="00742CD7" w:rsidRDefault="00E559B2" w:rsidP="009033A9">
      <w:pPr>
        <w:spacing w:after="0" w:line="360" w:lineRule="auto"/>
        <w:rPr>
          <w:rFonts w:ascii="Tahoma" w:hAnsi="Tahoma" w:cs="Tahoma"/>
          <w:color w:val="auto"/>
          <w:sz w:val="20"/>
          <w:szCs w:val="20"/>
          <w:lang w:val="en-GB"/>
        </w:rPr>
      </w:pPr>
    </w:p>
    <w:p w14:paraId="3289B80A" w14:textId="77777777" w:rsidR="00E559B2" w:rsidRPr="00742CD7" w:rsidRDefault="00E559B2" w:rsidP="009033A9">
      <w:pPr>
        <w:spacing w:after="0" w:line="360" w:lineRule="auto"/>
        <w:rPr>
          <w:rFonts w:ascii="Tahoma" w:hAnsi="Tahoma" w:cs="Tahoma"/>
          <w:b/>
          <w:color w:val="auto"/>
          <w:sz w:val="20"/>
          <w:szCs w:val="20"/>
          <w:lang w:val="en-GB"/>
        </w:rPr>
      </w:pPr>
    </w:p>
    <w:p w14:paraId="68661333" w14:textId="36CE2861" w:rsidR="0052543D" w:rsidRPr="00742CD7" w:rsidRDefault="009033A9" w:rsidP="009033A9">
      <w:pPr>
        <w:spacing w:after="0" w:line="360" w:lineRule="auto"/>
        <w:rPr>
          <w:rFonts w:ascii="Tahoma" w:hAnsi="Tahoma" w:cs="Tahoma"/>
          <w:b/>
          <w:color w:val="auto"/>
          <w:sz w:val="20"/>
          <w:szCs w:val="20"/>
          <w:lang w:val="en-GB"/>
        </w:rPr>
      </w:pPr>
      <w:r w:rsidRPr="00742CD7">
        <w:rPr>
          <w:rFonts w:ascii="Tahoma" w:hAnsi="Tahoma" w:cs="Tahoma"/>
          <w:b/>
          <w:color w:val="auto"/>
          <w:sz w:val="20"/>
          <w:szCs w:val="20"/>
          <w:lang w:val="en-GB"/>
        </w:rPr>
        <w:t xml:space="preserve">3. </w:t>
      </w:r>
      <w:r w:rsidR="00BE124B" w:rsidRPr="00742CD7">
        <w:rPr>
          <w:rFonts w:ascii="Tahoma" w:hAnsi="Tahoma" w:cs="Tahoma"/>
          <w:b/>
          <w:color w:val="auto"/>
          <w:sz w:val="20"/>
          <w:szCs w:val="20"/>
          <w:lang w:val="en-GB"/>
        </w:rPr>
        <w:t>The economic contribution of immigration in Italy</w:t>
      </w:r>
    </w:p>
    <w:p w14:paraId="2EFB74E1" w14:textId="77777777" w:rsidR="0052543D" w:rsidRPr="00742CD7" w:rsidRDefault="0052543D" w:rsidP="00543203">
      <w:pPr>
        <w:spacing w:after="0" w:line="360" w:lineRule="auto"/>
        <w:rPr>
          <w:rFonts w:ascii="Tahoma" w:hAnsi="Tahoma" w:cs="Tahoma"/>
          <w:color w:val="auto"/>
          <w:sz w:val="20"/>
          <w:szCs w:val="20"/>
          <w:lang w:val="en-GB"/>
        </w:rPr>
      </w:pPr>
    </w:p>
    <w:p w14:paraId="01E6998C" w14:textId="1CAD0E56" w:rsidR="003F3893" w:rsidRPr="003F3893" w:rsidRDefault="003F3893" w:rsidP="003F3893">
      <w:pPr>
        <w:spacing w:after="0" w:line="360" w:lineRule="auto"/>
        <w:jc w:val="both"/>
        <w:rPr>
          <w:rFonts w:ascii="Tahoma" w:hAnsi="Tahoma" w:cs="Tahoma"/>
          <w:sz w:val="20"/>
          <w:szCs w:val="20"/>
          <w:lang w:val="en-GB"/>
        </w:rPr>
      </w:pPr>
      <w:r w:rsidRPr="003F3893">
        <w:rPr>
          <w:rFonts w:ascii="Tahoma" w:hAnsi="Tahoma" w:cs="Tahoma"/>
          <w:sz w:val="20"/>
          <w:szCs w:val="20"/>
          <w:lang w:val="en-GB"/>
        </w:rPr>
        <w:t>In 2023, workers with non-Italian citizenship number 2.4 million, representing 10% of the total Italian workforce. It is important to note that this figure is adjusted downward due to the acquisition of Italian citizenship (over 200,000 in 2022 alone), which causes a “statistical” decrease in the foreign population without altering their presence in the country.</w:t>
      </w:r>
    </w:p>
    <w:p w14:paraId="069D42BD" w14:textId="77777777" w:rsidR="003F3893" w:rsidRPr="003F3893" w:rsidRDefault="003F3893" w:rsidP="003F3893">
      <w:pPr>
        <w:spacing w:after="0" w:line="360" w:lineRule="auto"/>
        <w:jc w:val="both"/>
        <w:rPr>
          <w:rFonts w:ascii="Tahoma" w:hAnsi="Tahoma" w:cs="Tahoma"/>
          <w:sz w:val="20"/>
          <w:szCs w:val="20"/>
          <w:lang w:val="en-GB"/>
        </w:rPr>
      </w:pPr>
      <w:r w:rsidRPr="003F3893">
        <w:rPr>
          <w:rFonts w:ascii="Tahoma" w:hAnsi="Tahoma" w:cs="Tahoma"/>
          <w:sz w:val="20"/>
          <w:szCs w:val="20"/>
          <w:lang w:val="en-GB"/>
        </w:rPr>
        <w:t>This workforce is heavily concentrated in certain sectors: in personal services, the incidence rises to 30%, and it is also higher in hotels and restaurants (17%), agriculture (18%), and construction (16%). Conversely, it is significantly lower than the average in business services (5.4%) and in public administration, education, and healthcare (2.8%). In the latter sector, nearly 22% of Italians are employed, compared to only 5.7% of foreigners.</w:t>
      </w:r>
    </w:p>
    <w:p w14:paraId="5A160CF3" w14:textId="77777777" w:rsidR="003F3893" w:rsidRPr="003F3893" w:rsidRDefault="003F3893" w:rsidP="003F3893">
      <w:pPr>
        <w:spacing w:after="0" w:line="360" w:lineRule="auto"/>
        <w:jc w:val="both"/>
        <w:rPr>
          <w:rFonts w:ascii="Tahoma" w:hAnsi="Tahoma" w:cs="Tahoma"/>
          <w:sz w:val="20"/>
          <w:szCs w:val="20"/>
          <w:lang w:val="en-GB"/>
        </w:rPr>
      </w:pPr>
      <w:r w:rsidRPr="003F3893">
        <w:rPr>
          <w:rFonts w:ascii="Tahoma" w:hAnsi="Tahoma" w:cs="Tahoma"/>
          <w:sz w:val="20"/>
          <w:szCs w:val="20"/>
          <w:lang w:val="en-GB"/>
        </w:rPr>
        <w:t>The analysis by type of profession also highlights a concentration of foreigners in certain occupations. Foreign workers tend to occupy less skilled jobs: only 8.7% of these workers are in skilled or technical professions, while 30% are in low-skilled jobs. Considering the incidence by type of profession, while on average there is one foreign worker for every ten employees, among unskilled personnel the figure rises to 29%, and among craft workers to 14.7%. In more skilled professions, it drops to 2.5%.</w:t>
      </w:r>
    </w:p>
    <w:p w14:paraId="1AFBB145" w14:textId="77777777" w:rsidR="003F3893" w:rsidRPr="003F3893" w:rsidRDefault="003F3893" w:rsidP="003F3893">
      <w:pPr>
        <w:spacing w:after="0" w:line="360" w:lineRule="auto"/>
        <w:jc w:val="both"/>
        <w:rPr>
          <w:rFonts w:ascii="Tahoma" w:hAnsi="Tahoma" w:cs="Tahoma"/>
          <w:sz w:val="20"/>
          <w:szCs w:val="20"/>
          <w:lang w:val="en-GB"/>
        </w:rPr>
      </w:pPr>
      <w:r w:rsidRPr="003F3893">
        <w:rPr>
          <w:rFonts w:ascii="Tahoma" w:hAnsi="Tahoma" w:cs="Tahoma"/>
          <w:sz w:val="20"/>
          <w:szCs w:val="20"/>
          <w:lang w:val="en-GB"/>
        </w:rPr>
        <w:t>This economic contribution translates into a contribution to GDP quantifiable at 164 billion euros of wealth (value added) produced, equal to 8.8% of the national GDP.</w:t>
      </w:r>
    </w:p>
    <w:p w14:paraId="46717DE6" w14:textId="360BC61F" w:rsidR="003F3893" w:rsidRPr="00742CD7" w:rsidRDefault="003F3893" w:rsidP="00A35CA2">
      <w:pPr>
        <w:spacing w:after="0" w:line="360" w:lineRule="auto"/>
        <w:jc w:val="both"/>
        <w:rPr>
          <w:rFonts w:ascii="Tahoma" w:hAnsi="Tahoma" w:cs="Tahoma"/>
          <w:sz w:val="20"/>
          <w:szCs w:val="20"/>
          <w:lang w:val="en-GB"/>
        </w:rPr>
      </w:pPr>
      <w:r w:rsidRPr="003F3893">
        <w:rPr>
          <w:rFonts w:ascii="Tahoma" w:hAnsi="Tahoma" w:cs="Tahoma"/>
          <w:sz w:val="20"/>
          <w:szCs w:val="20"/>
          <w:lang w:val="en-GB"/>
        </w:rPr>
        <w:t>Most of this “wealth” is concentrated in the services sector, which employs the largest number of immigrant workers. However, if we look at the incidence by sector, the highest values are recorded in agriculture (16.4%), construction (15.1%), and hotels and restaurants (11.1%).</w:t>
      </w:r>
    </w:p>
    <w:p w14:paraId="0AA0184B" w14:textId="4E1EB0E6" w:rsidR="00CE4E51" w:rsidRDefault="00CE4E51" w:rsidP="00A35CA2">
      <w:pPr>
        <w:spacing w:after="0" w:line="360" w:lineRule="auto"/>
        <w:jc w:val="both"/>
        <w:rPr>
          <w:rFonts w:ascii="Tahoma" w:hAnsi="Tahoma" w:cs="Tahoma"/>
          <w:sz w:val="20"/>
          <w:szCs w:val="20"/>
          <w:lang w:val="en-GB"/>
        </w:rPr>
      </w:pPr>
    </w:p>
    <w:p w14:paraId="0A753A6E" w14:textId="4E4F3D64" w:rsidR="00963DD2" w:rsidRDefault="00963DD2" w:rsidP="00A35CA2">
      <w:pPr>
        <w:spacing w:after="0" w:line="360" w:lineRule="auto"/>
        <w:jc w:val="both"/>
        <w:rPr>
          <w:rFonts w:ascii="Tahoma" w:hAnsi="Tahoma" w:cs="Tahoma"/>
          <w:sz w:val="20"/>
          <w:szCs w:val="20"/>
          <w:lang w:val="en-GB"/>
        </w:rPr>
      </w:pPr>
    </w:p>
    <w:p w14:paraId="50F2FE58" w14:textId="77777777" w:rsidR="00963DD2" w:rsidRPr="00742CD7" w:rsidRDefault="00963DD2" w:rsidP="00A35CA2">
      <w:pPr>
        <w:spacing w:after="0" w:line="360" w:lineRule="auto"/>
        <w:jc w:val="both"/>
        <w:rPr>
          <w:rFonts w:ascii="Tahoma" w:hAnsi="Tahoma" w:cs="Tahoma"/>
          <w:sz w:val="20"/>
          <w:szCs w:val="20"/>
          <w:lang w:val="en-GB"/>
        </w:rPr>
      </w:pPr>
    </w:p>
    <w:p w14:paraId="3AD0A367" w14:textId="160BDBCD" w:rsidR="00CE4E51" w:rsidRPr="00742CD7" w:rsidRDefault="00BE124B" w:rsidP="00CE4E51">
      <w:pPr>
        <w:pStyle w:val="Standard"/>
        <w:jc w:val="both"/>
        <w:rPr>
          <w:rFonts w:ascii="Tahoma" w:hAnsi="Tahoma" w:cs="Tahoma"/>
          <w:b/>
          <w:sz w:val="20"/>
          <w:szCs w:val="20"/>
          <w:lang w:val="en-GB"/>
        </w:rPr>
      </w:pPr>
      <w:r w:rsidRPr="00742CD7">
        <w:rPr>
          <w:rFonts w:ascii="Tahoma" w:eastAsia="Times New Roman" w:hAnsi="Tahoma" w:cs="Tahoma"/>
          <w:b/>
          <w:sz w:val="20"/>
          <w:szCs w:val="20"/>
          <w:lang w:val="en-GB" w:eastAsia="it-IT" w:bidi="ar-SA"/>
        </w:rPr>
        <w:lastRenderedPageBreak/>
        <w:t>Added Value produced by immigrant workers</w:t>
      </w:r>
      <w:r w:rsidR="00CE4E51" w:rsidRPr="00742CD7">
        <w:rPr>
          <w:rFonts w:ascii="Tahoma" w:eastAsia="Times New Roman" w:hAnsi="Tahoma" w:cs="Tahoma"/>
          <w:b/>
          <w:sz w:val="20"/>
          <w:szCs w:val="20"/>
          <w:lang w:val="en-GB" w:eastAsia="it-IT" w:bidi="ar-SA"/>
        </w:rPr>
        <w:t xml:space="preserve"> (</w:t>
      </w:r>
      <w:r w:rsidRPr="00742CD7">
        <w:rPr>
          <w:rFonts w:ascii="Tahoma" w:eastAsia="Times New Roman" w:hAnsi="Tahoma" w:cs="Tahoma"/>
          <w:b/>
          <w:sz w:val="20"/>
          <w:szCs w:val="20"/>
          <w:lang w:val="en-GB" w:eastAsia="it-IT" w:bidi="ar-SA"/>
        </w:rPr>
        <w:t>over-</w:t>
      </w:r>
      <w:r w:rsidR="00CE4E51" w:rsidRPr="00742CD7">
        <w:rPr>
          <w:rFonts w:ascii="Tahoma" w:eastAsia="Times New Roman" w:hAnsi="Tahoma" w:cs="Tahoma"/>
          <w:b/>
          <w:sz w:val="20"/>
          <w:szCs w:val="20"/>
          <w:lang w:val="en-GB" w:eastAsia="it-IT" w:bidi="ar-SA"/>
        </w:rPr>
        <w:t>15</w:t>
      </w:r>
      <w:r w:rsidRPr="00742CD7">
        <w:rPr>
          <w:rFonts w:ascii="Tahoma" w:eastAsia="Times New Roman" w:hAnsi="Tahoma" w:cs="Tahoma"/>
          <w:b/>
          <w:sz w:val="20"/>
          <w:szCs w:val="20"/>
          <w:lang w:val="en-GB" w:eastAsia="it-IT" w:bidi="ar-SA"/>
        </w:rPr>
        <w:t xml:space="preserve"> y/o</w:t>
      </w:r>
      <w:r w:rsidR="00CE4E51" w:rsidRPr="00742CD7">
        <w:rPr>
          <w:rFonts w:ascii="Tahoma" w:eastAsia="Times New Roman" w:hAnsi="Tahoma" w:cs="Tahoma"/>
          <w:b/>
          <w:sz w:val="20"/>
          <w:szCs w:val="20"/>
          <w:lang w:val="en-GB" w:eastAsia="it-IT" w:bidi="ar-SA"/>
        </w:rPr>
        <w:t xml:space="preserve">) </w:t>
      </w:r>
      <w:r w:rsidRPr="00742CD7">
        <w:rPr>
          <w:rFonts w:ascii="Tahoma" w:eastAsia="Times New Roman" w:hAnsi="Tahoma" w:cs="Tahoma"/>
          <w:b/>
          <w:sz w:val="20"/>
          <w:szCs w:val="20"/>
          <w:lang w:val="en-GB" w:eastAsia="it-IT" w:bidi="ar-SA"/>
        </w:rPr>
        <w:t>by sector</w:t>
      </w:r>
      <w:r w:rsidR="00CE4E51" w:rsidRPr="00742CD7">
        <w:rPr>
          <w:rFonts w:ascii="Tahoma" w:eastAsia="Times New Roman" w:hAnsi="Tahoma" w:cs="Tahoma"/>
          <w:b/>
          <w:sz w:val="20"/>
          <w:szCs w:val="20"/>
          <w:lang w:val="en-GB" w:eastAsia="it-IT" w:bidi="ar-SA"/>
        </w:rPr>
        <w:t>, 2023.</w:t>
      </w:r>
    </w:p>
    <w:tbl>
      <w:tblPr>
        <w:tblW w:w="9507"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98"/>
        <w:gridCol w:w="2268"/>
        <w:gridCol w:w="2265"/>
        <w:gridCol w:w="2776"/>
      </w:tblGrid>
      <w:tr w:rsidR="00CE4E51" w:rsidRPr="00D523E0" w14:paraId="5E9E7A2D"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97C0F" w14:textId="27B37716" w:rsidR="00CE4E51" w:rsidRPr="00742CD7" w:rsidRDefault="00CE4E51" w:rsidP="00C62F05">
            <w:pPr>
              <w:pStyle w:val="Standard"/>
              <w:rPr>
                <w:rFonts w:ascii="Tahoma" w:hAnsi="Tahoma" w:cs="Tahoma"/>
                <w:sz w:val="20"/>
                <w:szCs w:val="20"/>
                <w:lang w:val="en-GB"/>
              </w:rPr>
            </w:pPr>
            <w:r w:rsidRPr="00742CD7">
              <w:rPr>
                <w:rFonts w:ascii="Tahoma" w:hAnsi="Tahoma" w:cs="Tahoma"/>
                <w:b/>
                <w:sz w:val="20"/>
                <w:szCs w:val="20"/>
                <w:lang w:val="en-GB"/>
              </w:rPr>
              <w:t>Se</w:t>
            </w:r>
            <w:r w:rsidR="003F3893" w:rsidRPr="00742CD7">
              <w:rPr>
                <w:rFonts w:ascii="Tahoma" w:hAnsi="Tahoma" w:cs="Tahoma"/>
                <w:b/>
                <w:sz w:val="20"/>
                <w:szCs w:val="20"/>
                <w:lang w:val="en-GB"/>
              </w:rPr>
              <w:t>ctors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5261D0F7" w14:textId="65B95CA6" w:rsidR="00CE4E51" w:rsidRPr="00742CD7" w:rsidRDefault="00CE4E51" w:rsidP="00C62F05">
            <w:pPr>
              <w:pStyle w:val="Standard"/>
              <w:jc w:val="center"/>
              <w:rPr>
                <w:rFonts w:ascii="Tahoma" w:hAnsi="Tahoma" w:cs="Tahoma"/>
                <w:b/>
                <w:sz w:val="20"/>
                <w:szCs w:val="20"/>
                <w:lang w:val="en-GB"/>
              </w:rPr>
            </w:pPr>
            <w:r w:rsidRPr="00742CD7">
              <w:rPr>
                <w:rFonts w:ascii="Tahoma" w:hAnsi="Tahoma" w:cs="Tahoma"/>
                <w:b/>
                <w:sz w:val="20"/>
                <w:szCs w:val="20"/>
                <w:lang w:val="en-GB"/>
              </w:rPr>
              <w:t>Immigra</w:t>
            </w:r>
            <w:r w:rsidR="003F3893" w:rsidRPr="00742CD7">
              <w:rPr>
                <w:rFonts w:ascii="Tahoma" w:hAnsi="Tahoma" w:cs="Tahoma"/>
                <w:b/>
                <w:sz w:val="20"/>
                <w:szCs w:val="20"/>
                <w:lang w:val="en-GB"/>
              </w:rPr>
              <w:t>n</w:t>
            </w:r>
            <w:r w:rsidRPr="00742CD7">
              <w:rPr>
                <w:rFonts w:ascii="Tahoma" w:hAnsi="Tahoma" w:cs="Tahoma"/>
                <w:b/>
                <w:sz w:val="20"/>
                <w:szCs w:val="20"/>
                <w:lang w:val="en-GB"/>
              </w:rPr>
              <w:t>t</w:t>
            </w:r>
            <w:r w:rsidR="003F3893" w:rsidRPr="00742CD7">
              <w:rPr>
                <w:rFonts w:ascii="Tahoma" w:hAnsi="Tahoma" w:cs="Tahoma"/>
                <w:b/>
                <w:sz w:val="20"/>
                <w:szCs w:val="20"/>
                <w:lang w:val="en-GB"/>
              </w:rPr>
              <w:t xml:space="preserve"> workers</w:t>
            </w:r>
            <w:r w:rsidRPr="00742CD7">
              <w:rPr>
                <w:rFonts w:ascii="Tahoma" w:hAnsi="Tahoma" w:cs="Tahoma"/>
                <w:b/>
                <w:sz w:val="20"/>
                <w:szCs w:val="20"/>
                <w:lang w:val="en-GB"/>
              </w:rPr>
              <w:t xml:space="preserve"> 2023 </w:t>
            </w:r>
          </w:p>
          <w:p w14:paraId="0D9A815B" w14:textId="204B34E9" w:rsidR="00CE4E51" w:rsidRPr="00742CD7" w:rsidRDefault="00CE4E51" w:rsidP="00C62F05">
            <w:pPr>
              <w:pStyle w:val="Standard"/>
              <w:jc w:val="center"/>
              <w:rPr>
                <w:rFonts w:ascii="Tahoma" w:hAnsi="Tahoma" w:cs="Tahoma"/>
                <w:sz w:val="20"/>
                <w:szCs w:val="20"/>
                <w:lang w:val="en-GB"/>
              </w:rPr>
            </w:pPr>
            <w:r w:rsidRPr="00742CD7">
              <w:rPr>
                <w:rFonts w:ascii="Tahoma" w:hAnsi="Tahoma" w:cs="Tahoma"/>
                <w:b/>
                <w:sz w:val="20"/>
                <w:szCs w:val="20"/>
                <w:lang w:val="en-GB"/>
              </w:rPr>
              <w:t>(</w:t>
            </w:r>
            <w:r w:rsidR="003F3893" w:rsidRPr="00742CD7">
              <w:rPr>
                <w:rFonts w:ascii="Tahoma" w:hAnsi="Tahoma" w:cs="Tahoma"/>
                <w:b/>
                <w:sz w:val="20"/>
                <w:szCs w:val="20"/>
                <w:lang w:val="en-GB"/>
              </w:rPr>
              <w:t>thousands</w:t>
            </w:r>
            <w:r w:rsidRPr="00742CD7">
              <w:rPr>
                <w:rFonts w:ascii="Tahoma" w:hAnsi="Tahoma" w:cs="Tahoma"/>
                <w:b/>
                <w:sz w:val="20"/>
                <w:szCs w:val="20"/>
                <w:lang w:val="en-GB"/>
              </w:rPr>
              <w:t>)</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598491A4" w14:textId="1AAB01D3" w:rsidR="00CE4E51" w:rsidRPr="00742CD7" w:rsidRDefault="003F3893" w:rsidP="003F3893">
            <w:pPr>
              <w:pStyle w:val="Standard"/>
              <w:jc w:val="center"/>
              <w:rPr>
                <w:rFonts w:ascii="Tahoma" w:hAnsi="Tahoma" w:cs="Tahoma"/>
                <w:sz w:val="20"/>
                <w:szCs w:val="20"/>
                <w:lang w:val="en-GB"/>
              </w:rPr>
            </w:pPr>
            <w:r w:rsidRPr="00742CD7">
              <w:rPr>
                <w:rFonts w:ascii="Tahoma" w:hAnsi="Tahoma" w:cs="Tahoma"/>
                <w:b/>
                <w:sz w:val="20"/>
                <w:szCs w:val="20"/>
                <w:lang w:val="en-GB"/>
              </w:rPr>
              <w:t>Immigration GDP</w:t>
            </w:r>
            <w:r w:rsidR="00CE4E51" w:rsidRPr="00742CD7">
              <w:rPr>
                <w:rFonts w:ascii="Tahoma" w:hAnsi="Tahoma" w:cs="Tahoma"/>
                <w:b/>
                <w:sz w:val="20"/>
                <w:szCs w:val="20"/>
                <w:lang w:val="en-GB"/>
              </w:rPr>
              <w:t xml:space="preserve"> (</w:t>
            </w:r>
            <w:r w:rsidRPr="00742CD7">
              <w:rPr>
                <w:rFonts w:ascii="Tahoma" w:hAnsi="Tahoma" w:cs="Tahoma"/>
                <w:b/>
                <w:sz w:val="20"/>
                <w:szCs w:val="20"/>
                <w:lang w:val="en-GB"/>
              </w:rPr>
              <w:t>million</w:t>
            </w:r>
            <w:r w:rsidR="00CE4E51" w:rsidRPr="00742CD7">
              <w:rPr>
                <w:rFonts w:ascii="Tahoma" w:hAnsi="Tahoma" w:cs="Tahoma"/>
                <w:b/>
                <w:sz w:val="20"/>
                <w:szCs w:val="20"/>
                <w:lang w:val="en-GB"/>
              </w:rPr>
              <w:t xml:space="preserve"> €)</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4DD4250E" w14:textId="025BF41E" w:rsidR="00CE4E51" w:rsidRPr="00742CD7" w:rsidRDefault="00CE4E51" w:rsidP="00C62F05">
            <w:pPr>
              <w:pStyle w:val="Standard"/>
              <w:jc w:val="center"/>
              <w:rPr>
                <w:rFonts w:ascii="Tahoma" w:hAnsi="Tahoma" w:cs="Tahoma"/>
                <w:sz w:val="20"/>
                <w:szCs w:val="20"/>
                <w:lang w:val="en-GB"/>
              </w:rPr>
            </w:pPr>
            <w:r w:rsidRPr="00742CD7">
              <w:rPr>
                <w:rFonts w:ascii="Tahoma" w:hAnsi="Tahoma" w:cs="Tahoma"/>
                <w:b/>
                <w:sz w:val="20"/>
                <w:szCs w:val="20"/>
                <w:lang w:val="en-GB"/>
              </w:rPr>
              <w:t>%</w:t>
            </w:r>
            <w:r w:rsidR="003F3893" w:rsidRPr="00742CD7">
              <w:rPr>
                <w:rFonts w:ascii="Tahoma" w:hAnsi="Tahoma" w:cs="Tahoma"/>
                <w:b/>
                <w:sz w:val="20"/>
                <w:szCs w:val="20"/>
                <w:lang w:val="en-GB"/>
              </w:rPr>
              <w:t xml:space="preserve"> Added Value produced by foreigners over the total A.V</w:t>
            </w:r>
            <w:r w:rsidRPr="00742CD7">
              <w:rPr>
                <w:rFonts w:ascii="Tahoma" w:hAnsi="Tahoma" w:cs="Tahoma"/>
                <w:b/>
                <w:sz w:val="20"/>
                <w:szCs w:val="20"/>
                <w:lang w:val="en-GB"/>
              </w:rPr>
              <w:t xml:space="preserve">. </w:t>
            </w:r>
          </w:p>
        </w:tc>
      </w:tr>
      <w:tr w:rsidR="00CE4E51" w:rsidRPr="00742CD7" w14:paraId="5FD35EBD"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2065D" w14:textId="3FCCB652" w:rsidR="00CE4E51" w:rsidRPr="00742CD7" w:rsidRDefault="00742CD7" w:rsidP="00C62F05">
            <w:pPr>
              <w:pStyle w:val="Standard"/>
              <w:rPr>
                <w:rFonts w:ascii="Tahoma" w:hAnsi="Tahoma" w:cs="Tahoma"/>
                <w:sz w:val="20"/>
                <w:szCs w:val="20"/>
                <w:lang w:val="en-GB"/>
              </w:rPr>
            </w:pPr>
            <w:r w:rsidRPr="00742CD7">
              <w:rPr>
                <w:rFonts w:ascii="Tahoma" w:hAnsi="Tahoma" w:cs="Tahoma"/>
                <w:color w:val="000000"/>
                <w:sz w:val="20"/>
                <w:szCs w:val="20"/>
                <w:lang w:val="en-GB"/>
              </w:rPr>
              <w:t>Agriculture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2E7AD47C" w14:textId="7777777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152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39366374" w14:textId="1691D0BB"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6</w:t>
            </w:r>
            <w:r w:rsidR="003F3893" w:rsidRPr="00742CD7">
              <w:rPr>
                <w:rFonts w:ascii="Tahoma" w:hAnsi="Tahoma" w:cs="Tahoma"/>
                <w:sz w:val="20"/>
                <w:szCs w:val="20"/>
                <w:lang w:val="en-GB"/>
              </w:rPr>
              <w:t>,</w:t>
            </w:r>
            <w:r w:rsidRPr="00742CD7">
              <w:rPr>
                <w:rFonts w:ascii="Tahoma" w:hAnsi="Tahoma" w:cs="Tahoma"/>
                <w:sz w:val="20"/>
                <w:szCs w:val="20"/>
                <w:lang w:val="en-GB"/>
              </w:rPr>
              <w:t>632</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76922647" w14:textId="733695BF"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16</w:t>
            </w:r>
            <w:r w:rsidR="003F3893" w:rsidRPr="00742CD7">
              <w:rPr>
                <w:rFonts w:ascii="Tahoma" w:hAnsi="Tahoma" w:cs="Tahoma"/>
                <w:sz w:val="20"/>
                <w:szCs w:val="20"/>
                <w:lang w:val="en-GB"/>
              </w:rPr>
              <w:t>.</w:t>
            </w:r>
            <w:r w:rsidRPr="00742CD7">
              <w:rPr>
                <w:rFonts w:ascii="Tahoma" w:hAnsi="Tahoma" w:cs="Tahoma"/>
                <w:sz w:val="20"/>
                <w:szCs w:val="20"/>
                <w:lang w:val="en-GB"/>
              </w:rPr>
              <w:t>4%</w:t>
            </w:r>
          </w:p>
        </w:tc>
      </w:tr>
      <w:tr w:rsidR="00CE4E51" w:rsidRPr="00742CD7" w14:paraId="74BE5153"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656B2" w14:textId="5497D692" w:rsidR="00CE4E51" w:rsidRPr="00742CD7" w:rsidRDefault="00742CD7" w:rsidP="00C62F05">
            <w:pPr>
              <w:pStyle w:val="Standard"/>
              <w:rPr>
                <w:rFonts w:ascii="Tahoma" w:hAnsi="Tahoma" w:cs="Tahoma"/>
                <w:sz w:val="20"/>
                <w:szCs w:val="20"/>
                <w:lang w:val="en-GB"/>
              </w:rPr>
            </w:pPr>
            <w:r w:rsidRPr="00742CD7">
              <w:rPr>
                <w:rFonts w:ascii="Tahoma" w:hAnsi="Tahoma" w:cs="Tahoma"/>
                <w:color w:val="000000"/>
                <w:sz w:val="20"/>
                <w:szCs w:val="20"/>
                <w:lang w:val="en-GB"/>
              </w:rPr>
              <w:t>Manufacturing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0198C2EF" w14:textId="7777777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469</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5C7AFD40" w14:textId="132515EC"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39</w:t>
            </w:r>
            <w:r w:rsidR="003F3893" w:rsidRPr="00742CD7">
              <w:rPr>
                <w:rFonts w:ascii="Tahoma" w:hAnsi="Tahoma" w:cs="Tahoma"/>
                <w:sz w:val="20"/>
                <w:szCs w:val="20"/>
                <w:lang w:val="en-GB"/>
              </w:rPr>
              <w:t>,</w:t>
            </w:r>
            <w:r w:rsidRPr="00742CD7">
              <w:rPr>
                <w:rFonts w:ascii="Tahoma" w:hAnsi="Tahoma" w:cs="Tahoma"/>
                <w:sz w:val="20"/>
                <w:szCs w:val="20"/>
                <w:lang w:val="en-GB"/>
              </w:rPr>
              <w:t>408</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75526374" w14:textId="11316FC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10</w:t>
            </w:r>
            <w:r w:rsidR="003F3893" w:rsidRPr="00742CD7">
              <w:rPr>
                <w:rFonts w:ascii="Tahoma" w:hAnsi="Tahoma" w:cs="Tahoma"/>
                <w:sz w:val="20"/>
                <w:szCs w:val="20"/>
                <w:lang w:val="en-GB"/>
              </w:rPr>
              <w:t>.</w:t>
            </w:r>
            <w:r w:rsidRPr="00742CD7">
              <w:rPr>
                <w:rFonts w:ascii="Tahoma" w:hAnsi="Tahoma" w:cs="Tahoma"/>
                <w:sz w:val="20"/>
                <w:szCs w:val="20"/>
                <w:lang w:val="en-GB"/>
              </w:rPr>
              <w:t>3%</w:t>
            </w:r>
          </w:p>
        </w:tc>
      </w:tr>
      <w:tr w:rsidR="00CE4E51" w:rsidRPr="00742CD7" w14:paraId="0D8FA4B1"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2C47B" w14:textId="07E5B0CB" w:rsidR="00CE4E51" w:rsidRPr="00742CD7" w:rsidRDefault="00CE4E51" w:rsidP="00C62F05">
            <w:pPr>
              <w:pStyle w:val="Standard"/>
              <w:rPr>
                <w:rFonts w:ascii="Tahoma" w:hAnsi="Tahoma" w:cs="Tahoma"/>
                <w:sz w:val="20"/>
                <w:szCs w:val="20"/>
                <w:lang w:val="en-GB"/>
              </w:rPr>
            </w:pPr>
            <w:r w:rsidRPr="00742CD7">
              <w:rPr>
                <w:rFonts w:ascii="Tahoma" w:hAnsi="Tahoma" w:cs="Tahoma"/>
                <w:color w:val="000000"/>
                <w:sz w:val="20"/>
                <w:szCs w:val="20"/>
                <w:lang w:val="en-GB"/>
              </w:rPr>
              <w:t>Co</w:t>
            </w:r>
            <w:r w:rsidR="003F3893" w:rsidRPr="00742CD7">
              <w:rPr>
                <w:rFonts w:ascii="Tahoma" w:hAnsi="Tahoma" w:cs="Tahoma"/>
                <w:color w:val="000000"/>
                <w:sz w:val="20"/>
                <w:szCs w:val="20"/>
                <w:lang w:val="en-GB"/>
              </w:rPr>
              <w:t>nstruction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507868BE" w14:textId="7777777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252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3657147F" w14:textId="34F6ED8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14</w:t>
            </w:r>
            <w:r w:rsidR="003F3893" w:rsidRPr="00742CD7">
              <w:rPr>
                <w:rFonts w:ascii="Tahoma" w:hAnsi="Tahoma" w:cs="Tahoma"/>
                <w:sz w:val="20"/>
                <w:szCs w:val="20"/>
                <w:lang w:val="en-GB"/>
              </w:rPr>
              <w:t>,</w:t>
            </w:r>
            <w:r w:rsidRPr="00742CD7">
              <w:rPr>
                <w:rFonts w:ascii="Tahoma" w:hAnsi="Tahoma" w:cs="Tahoma"/>
                <w:sz w:val="20"/>
                <w:szCs w:val="20"/>
                <w:lang w:val="en-GB"/>
              </w:rPr>
              <w:t>951</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45BA0CF3" w14:textId="1C1D4CB6"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15</w:t>
            </w:r>
            <w:r w:rsidR="003F3893" w:rsidRPr="00742CD7">
              <w:rPr>
                <w:rFonts w:ascii="Tahoma" w:hAnsi="Tahoma" w:cs="Tahoma"/>
                <w:sz w:val="20"/>
                <w:szCs w:val="20"/>
                <w:lang w:val="en-GB"/>
              </w:rPr>
              <w:t>.</w:t>
            </w:r>
            <w:r w:rsidRPr="00742CD7">
              <w:rPr>
                <w:rFonts w:ascii="Tahoma" w:hAnsi="Tahoma" w:cs="Tahoma"/>
                <w:sz w:val="20"/>
                <w:szCs w:val="20"/>
                <w:lang w:val="en-GB"/>
              </w:rPr>
              <w:t>1%</w:t>
            </w:r>
          </w:p>
        </w:tc>
      </w:tr>
      <w:tr w:rsidR="00CE4E51" w:rsidRPr="00742CD7" w14:paraId="17AB2A13"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C8AE" w14:textId="153BD28D" w:rsidR="00CE4E51" w:rsidRPr="00742CD7" w:rsidRDefault="003F3893" w:rsidP="00C62F05">
            <w:pPr>
              <w:pStyle w:val="Standard"/>
              <w:rPr>
                <w:rFonts w:ascii="Tahoma" w:hAnsi="Tahoma" w:cs="Tahoma"/>
                <w:sz w:val="20"/>
                <w:szCs w:val="20"/>
                <w:lang w:val="en-GB"/>
              </w:rPr>
            </w:pPr>
            <w:r w:rsidRPr="00742CD7">
              <w:rPr>
                <w:rFonts w:ascii="Tahoma" w:hAnsi="Tahoma" w:cs="Tahoma"/>
                <w:color w:val="000000"/>
                <w:sz w:val="20"/>
                <w:szCs w:val="20"/>
                <w:lang w:val="en-GB"/>
              </w:rPr>
              <w:t>Trade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57F8A5C2" w14:textId="7777777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224</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78FBE88D" w14:textId="12D661DE"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16</w:t>
            </w:r>
            <w:r w:rsidR="003F3893" w:rsidRPr="00742CD7">
              <w:rPr>
                <w:rFonts w:ascii="Tahoma" w:hAnsi="Tahoma" w:cs="Tahoma"/>
                <w:sz w:val="20"/>
                <w:szCs w:val="20"/>
                <w:lang w:val="en-GB"/>
              </w:rPr>
              <w:t>,</w:t>
            </w:r>
            <w:r w:rsidRPr="00742CD7">
              <w:rPr>
                <w:rFonts w:ascii="Tahoma" w:hAnsi="Tahoma" w:cs="Tahoma"/>
                <w:sz w:val="20"/>
                <w:szCs w:val="20"/>
                <w:lang w:val="en-GB"/>
              </w:rPr>
              <w:t>795</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73156AB2" w14:textId="517F0596"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7</w:t>
            </w:r>
            <w:r w:rsidR="003F3893" w:rsidRPr="00742CD7">
              <w:rPr>
                <w:rFonts w:ascii="Tahoma" w:hAnsi="Tahoma" w:cs="Tahoma"/>
                <w:sz w:val="20"/>
                <w:szCs w:val="20"/>
                <w:lang w:val="en-GB"/>
              </w:rPr>
              <w:t>.</w:t>
            </w:r>
            <w:r w:rsidRPr="00742CD7">
              <w:rPr>
                <w:rFonts w:ascii="Tahoma" w:hAnsi="Tahoma" w:cs="Tahoma"/>
                <w:sz w:val="20"/>
                <w:szCs w:val="20"/>
                <w:lang w:val="en-GB"/>
              </w:rPr>
              <w:t>3%</w:t>
            </w:r>
          </w:p>
        </w:tc>
      </w:tr>
      <w:tr w:rsidR="00CE4E51" w:rsidRPr="00742CD7" w14:paraId="23357DE3"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9D4AD" w14:textId="6AA029FB" w:rsidR="00CE4E51" w:rsidRPr="00742CD7" w:rsidRDefault="003F3893" w:rsidP="00C62F05">
            <w:pPr>
              <w:pStyle w:val="Standard"/>
              <w:rPr>
                <w:rFonts w:ascii="Tahoma" w:hAnsi="Tahoma" w:cs="Tahoma"/>
                <w:sz w:val="20"/>
                <w:szCs w:val="20"/>
                <w:lang w:val="en-GB"/>
              </w:rPr>
            </w:pPr>
            <w:r w:rsidRPr="00742CD7">
              <w:rPr>
                <w:rFonts w:ascii="Tahoma" w:hAnsi="Tahoma" w:cs="Tahoma"/>
                <w:color w:val="000000"/>
                <w:sz w:val="20"/>
                <w:szCs w:val="20"/>
                <w:lang w:val="en-GB"/>
              </w:rPr>
              <w:t>Hotels and restaurants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08E0A60D" w14:textId="7777777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263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2D4EF2DA" w14:textId="3B86F781"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8</w:t>
            </w:r>
            <w:r w:rsidR="003F3893" w:rsidRPr="00742CD7">
              <w:rPr>
                <w:rFonts w:ascii="Tahoma" w:hAnsi="Tahoma" w:cs="Tahoma"/>
                <w:sz w:val="20"/>
                <w:szCs w:val="20"/>
                <w:lang w:val="en-GB"/>
              </w:rPr>
              <w:t>,</w:t>
            </w:r>
            <w:r w:rsidRPr="00742CD7">
              <w:rPr>
                <w:rFonts w:ascii="Tahoma" w:hAnsi="Tahoma" w:cs="Tahoma"/>
                <w:sz w:val="20"/>
                <w:szCs w:val="20"/>
                <w:lang w:val="en-GB"/>
              </w:rPr>
              <w:t>261</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48C75C87" w14:textId="3488176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11</w:t>
            </w:r>
            <w:r w:rsidR="003F3893" w:rsidRPr="00742CD7">
              <w:rPr>
                <w:rFonts w:ascii="Tahoma" w:hAnsi="Tahoma" w:cs="Tahoma"/>
                <w:sz w:val="20"/>
                <w:szCs w:val="20"/>
                <w:lang w:val="en-GB"/>
              </w:rPr>
              <w:t>.</w:t>
            </w:r>
            <w:r w:rsidRPr="00742CD7">
              <w:rPr>
                <w:rFonts w:ascii="Tahoma" w:hAnsi="Tahoma" w:cs="Tahoma"/>
                <w:sz w:val="20"/>
                <w:szCs w:val="20"/>
                <w:lang w:val="en-GB"/>
              </w:rPr>
              <w:t>1%</w:t>
            </w:r>
          </w:p>
        </w:tc>
      </w:tr>
      <w:tr w:rsidR="00CE4E51" w:rsidRPr="00742CD7" w14:paraId="6C2BC9F9" w14:textId="77777777"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B34F2" w14:textId="22C14A9B" w:rsidR="00CE4E51" w:rsidRPr="00742CD7" w:rsidRDefault="003F3893" w:rsidP="00C62F05">
            <w:pPr>
              <w:pStyle w:val="Standard"/>
              <w:rPr>
                <w:rFonts w:ascii="Tahoma" w:hAnsi="Tahoma" w:cs="Tahoma"/>
                <w:sz w:val="20"/>
                <w:szCs w:val="20"/>
                <w:lang w:val="en-GB"/>
              </w:rPr>
            </w:pPr>
            <w:r w:rsidRPr="00742CD7">
              <w:rPr>
                <w:rFonts w:ascii="Tahoma" w:hAnsi="Tahoma" w:cs="Tahoma"/>
                <w:color w:val="000000"/>
                <w:sz w:val="20"/>
                <w:szCs w:val="20"/>
                <w:lang w:val="en-GB"/>
              </w:rPr>
              <w:t>Services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529B0CB1" w14:textId="496D17E8"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w:t>
            </w:r>
            <w:r w:rsidR="003F3893" w:rsidRPr="00742CD7">
              <w:rPr>
                <w:rFonts w:ascii="Tahoma" w:hAnsi="Tahoma" w:cs="Tahoma"/>
                <w:sz w:val="20"/>
                <w:szCs w:val="20"/>
                <w:lang w:val="en-GB"/>
              </w:rPr>
              <w:t>,</w:t>
            </w:r>
            <w:r w:rsidRPr="00742CD7">
              <w:rPr>
                <w:rFonts w:ascii="Tahoma" w:hAnsi="Tahoma" w:cs="Tahoma"/>
                <w:sz w:val="20"/>
                <w:szCs w:val="20"/>
                <w:lang w:val="en-GB"/>
              </w:rPr>
              <w:t>013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2142C7E8" w14:textId="63DD7424"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78</w:t>
            </w:r>
            <w:r w:rsidR="003F3893" w:rsidRPr="00742CD7">
              <w:rPr>
                <w:rFonts w:ascii="Tahoma" w:hAnsi="Tahoma" w:cs="Tahoma"/>
                <w:sz w:val="20"/>
                <w:szCs w:val="20"/>
                <w:lang w:val="en-GB"/>
              </w:rPr>
              <w:t>,</w:t>
            </w:r>
            <w:r w:rsidRPr="00742CD7">
              <w:rPr>
                <w:rFonts w:ascii="Tahoma" w:hAnsi="Tahoma" w:cs="Tahoma"/>
                <w:sz w:val="20"/>
                <w:szCs w:val="20"/>
                <w:lang w:val="en-GB"/>
              </w:rPr>
              <w:t>194</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19FBCE73" w14:textId="696767CD"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7</w:t>
            </w:r>
            <w:r w:rsidR="003F3893" w:rsidRPr="00742CD7">
              <w:rPr>
                <w:rFonts w:ascii="Tahoma" w:hAnsi="Tahoma" w:cs="Tahoma"/>
                <w:sz w:val="20"/>
                <w:szCs w:val="20"/>
                <w:lang w:val="en-GB"/>
              </w:rPr>
              <w:t>.</w:t>
            </w:r>
            <w:r w:rsidRPr="00742CD7">
              <w:rPr>
                <w:rFonts w:ascii="Tahoma" w:hAnsi="Tahoma" w:cs="Tahoma"/>
                <w:sz w:val="20"/>
                <w:szCs w:val="20"/>
                <w:lang w:val="en-GB"/>
              </w:rPr>
              <w:t>5%</w:t>
            </w:r>
          </w:p>
        </w:tc>
      </w:tr>
      <w:tr w:rsidR="00CE4E51" w:rsidRPr="00742CD7" w14:paraId="0E62157E" w14:textId="77777777" w:rsidTr="00CE4E51">
        <w:trPr>
          <w:trHeight w:val="383"/>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03823" w14:textId="6C57DBD8" w:rsidR="00CE4E51" w:rsidRPr="00742CD7" w:rsidRDefault="00CE4E51" w:rsidP="00C62F05">
            <w:pPr>
              <w:pStyle w:val="Standard"/>
              <w:jc w:val="both"/>
              <w:rPr>
                <w:rFonts w:ascii="Tahoma" w:hAnsi="Tahoma" w:cs="Tahoma"/>
                <w:sz w:val="20"/>
                <w:szCs w:val="20"/>
                <w:lang w:val="en-GB"/>
              </w:rPr>
            </w:pPr>
            <w:r w:rsidRPr="00742CD7">
              <w:rPr>
                <w:rFonts w:ascii="Tahoma" w:hAnsi="Tahoma" w:cs="Tahoma"/>
                <w:bCs/>
                <w:color w:val="000000"/>
                <w:sz w:val="20"/>
                <w:szCs w:val="20"/>
                <w:lang w:val="en-GB"/>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28A67919" w14:textId="69176D8A"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2</w:t>
            </w:r>
            <w:r w:rsidR="003F3893" w:rsidRPr="00742CD7">
              <w:rPr>
                <w:rFonts w:ascii="Tahoma" w:hAnsi="Tahoma" w:cs="Tahoma"/>
                <w:sz w:val="20"/>
                <w:szCs w:val="20"/>
                <w:lang w:val="en-GB"/>
              </w:rPr>
              <w:t>,</w:t>
            </w:r>
            <w:r w:rsidRPr="00742CD7">
              <w:rPr>
                <w:rFonts w:ascii="Tahoma" w:hAnsi="Tahoma" w:cs="Tahoma"/>
                <w:sz w:val="20"/>
                <w:szCs w:val="20"/>
                <w:lang w:val="en-GB"/>
              </w:rPr>
              <w:t>374</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15807A84" w14:textId="1F0C038C"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164</w:t>
            </w:r>
            <w:r w:rsidR="003F3893" w:rsidRPr="00742CD7">
              <w:rPr>
                <w:rFonts w:ascii="Tahoma" w:hAnsi="Tahoma" w:cs="Tahoma"/>
                <w:sz w:val="20"/>
                <w:szCs w:val="20"/>
                <w:lang w:val="en-GB"/>
              </w:rPr>
              <w:t>,</w:t>
            </w:r>
            <w:r w:rsidRPr="00742CD7">
              <w:rPr>
                <w:rFonts w:ascii="Tahoma" w:hAnsi="Tahoma" w:cs="Tahoma"/>
                <w:sz w:val="20"/>
                <w:szCs w:val="20"/>
                <w:lang w:val="en-GB"/>
              </w:rPr>
              <w:t>241</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14:paraId="7CE8E9E6" w14:textId="6554E667" w:rsidR="00CE4E51" w:rsidRPr="00742CD7" w:rsidRDefault="00CE4E51" w:rsidP="00C62F05">
            <w:pPr>
              <w:pStyle w:val="Standard"/>
              <w:jc w:val="center"/>
              <w:rPr>
                <w:rFonts w:ascii="Tahoma" w:hAnsi="Tahoma" w:cs="Tahoma"/>
                <w:sz w:val="20"/>
                <w:szCs w:val="20"/>
                <w:lang w:val="en-GB"/>
              </w:rPr>
            </w:pPr>
            <w:r w:rsidRPr="00742CD7">
              <w:rPr>
                <w:rFonts w:ascii="Tahoma" w:hAnsi="Tahoma" w:cs="Tahoma"/>
                <w:sz w:val="20"/>
                <w:szCs w:val="20"/>
                <w:lang w:val="en-GB"/>
              </w:rPr>
              <w:t>8</w:t>
            </w:r>
            <w:r w:rsidR="003F3893" w:rsidRPr="00742CD7">
              <w:rPr>
                <w:rFonts w:ascii="Tahoma" w:hAnsi="Tahoma" w:cs="Tahoma"/>
                <w:sz w:val="20"/>
                <w:szCs w:val="20"/>
                <w:lang w:val="en-GB"/>
              </w:rPr>
              <w:t>.</w:t>
            </w:r>
            <w:r w:rsidRPr="00742CD7">
              <w:rPr>
                <w:rFonts w:ascii="Tahoma" w:hAnsi="Tahoma" w:cs="Tahoma"/>
                <w:sz w:val="20"/>
                <w:szCs w:val="20"/>
                <w:lang w:val="en-GB"/>
              </w:rPr>
              <w:t>8%</w:t>
            </w:r>
          </w:p>
        </w:tc>
      </w:tr>
    </w:tbl>
    <w:p w14:paraId="4FE5A30B" w14:textId="3CAE3213" w:rsidR="003F3893" w:rsidRPr="00742CD7" w:rsidRDefault="003F3893" w:rsidP="003F3893">
      <w:pPr>
        <w:pStyle w:val="Standard"/>
        <w:jc w:val="center"/>
        <w:rPr>
          <w:rFonts w:ascii="Tahoma" w:hAnsi="Tahoma" w:cs="Tahoma"/>
          <w:sz w:val="20"/>
          <w:szCs w:val="20"/>
          <w:lang w:val="en-GB"/>
        </w:rPr>
      </w:pPr>
      <w:r w:rsidRPr="00742CD7">
        <w:rPr>
          <w:rFonts w:ascii="Tahoma" w:hAnsi="Tahoma" w:cs="Tahoma"/>
          <w:sz w:val="20"/>
          <w:szCs w:val="20"/>
          <w:lang w:val="en-GB"/>
        </w:rPr>
        <w:t xml:space="preserve">Source: </w:t>
      </w:r>
      <w:r w:rsidRPr="00742CD7">
        <w:rPr>
          <w:rFonts w:ascii="Tahoma" w:hAnsi="Tahoma" w:cs="Tahoma"/>
          <w:i/>
          <w:iCs/>
          <w:sz w:val="20"/>
          <w:szCs w:val="20"/>
          <w:lang w:val="en-GB"/>
        </w:rPr>
        <w:t>Fondazione Leone Moressa Foundation elaborations on ISTAT data</w:t>
      </w:r>
    </w:p>
    <w:p w14:paraId="062DFB8C" w14:textId="77777777" w:rsidR="00CE4E51" w:rsidRPr="00742CD7" w:rsidRDefault="00CE4E51" w:rsidP="00A35CA2">
      <w:pPr>
        <w:spacing w:after="0" w:line="360" w:lineRule="auto"/>
        <w:jc w:val="both"/>
        <w:rPr>
          <w:rFonts w:ascii="Tahoma" w:hAnsi="Tahoma" w:cs="Tahoma"/>
          <w:sz w:val="20"/>
          <w:szCs w:val="20"/>
          <w:lang w:val="en-GB"/>
        </w:rPr>
      </w:pPr>
    </w:p>
    <w:p w14:paraId="2D17CB81" w14:textId="77777777" w:rsidR="002B39CE" w:rsidRPr="00742CD7" w:rsidRDefault="002B39CE" w:rsidP="00543203">
      <w:pPr>
        <w:spacing w:after="0" w:line="360" w:lineRule="auto"/>
        <w:rPr>
          <w:rFonts w:ascii="Tahoma" w:hAnsi="Tahoma" w:cs="Tahoma"/>
          <w:sz w:val="20"/>
          <w:szCs w:val="20"/>
          <w:lang w:val="en-GB"/>
        </w:rPr>
      </w:pPr>
    </w:p>
    <w:p w14:paraId="04E6DCB3" w14:textId="3EE5B0AA" w:rsidR="0052543D" w:rsidRPr="00742CD7" w:rsidRDefault="009033A9" w:rsidP="009033A9">
      <w:pPr>
        <w:spacing w:after="0" w:line="360" w:lineRule="auto"/>
        <w:rPr>
          <w:rFonts w:ascii="Tahoma" w:hAnsi="Tahoma" w:cs="Tahoma"/>
          <w:b/>
          <w:color w:val="auto"/>
          <w:sz w:val="20"/>
          <w:szCs w:val="20"/>
          <w:lang w:val="en-GB"/>
        </w:rPr>
      </w:pPr>
      <w:r w:rsidRPr="00742CD7">
        <w:rPr>
          <w:rFonts w:ascii="Tahoma" w:hAnsi="Tahoma" w:cs="Tahoma"/>
          <w:b/>
          <w:color w:val="auto"/>
          <w:sz w:val="20"/>
          <w:szCs w:val="20"/>
          <w:lang w:val="en-GB"/>
        </w:rPr>
        <w:t xml:space="preserve">4. </w:t>
      </w:r>
      <w:r w:rsidR="003F3893" w:rsidRPr="00742CD7">
        <w:rPr>
          <w:rFonts w:ascii="Tahoma" w:hAnsi="Tahoma" w:cs="Tahoma"/>
          <w:b/>
          <w:color w:val="auto"/>
          <w:sz w:val="20"/>
          <w:szCs w:val="20"/>
          <w:lang w:val="en-GB"/>
        </w:rPr>
        <w:t>The fiscal impact of immigration in Italy</w:t>
      </w:r>
    </w:p>
    <w:p w14:paraId="27AD616C" w14:textId="77777777" w:rsidR="0052543D" w:rsidRPr="00742CD7" w:rsidRDefault="0052543D" w:rsidP="00543203">
      <w:pPr>
        <w:spacing w:after="0" w:line="360" w:lineRule="auto"/>
        <w:rPr>
          <w:rFonts w:ascii="Tahoma" w:hAnsi="Tahoma" w:cs="Tahoma"/>
          <w:i/>
          <w:color w:val="auto"/>
          <w:sz w:val="20"/>
          <w:szCs w:val="20"/>
          <w:lang w:val="en-GB"/>
        </w:rPr>
      </w:pPr>
    </w:p>
    <w:p w14:paraId="3A8D7F76" w14:textId="4A8C951D" w:rsidR="005B040A" w:rsidRPr="00742CD7" w:rsidRDefault="005B040A" w:rsidP="005B040A">
      <w:pPr>
        <w:spacing w:after="0" w:line="360" w:lineRule="auto"/>
        <w:jc w:val="both"/>
        <w:rPr>
          <w:rFonts w:ascii="Tahoma" w:hAnsi="Tahoma" w:cs="Tahoma"/>
          <w:color w:val="auto"/>
          <w:sz w:val="20"/>
          <w:szCs w:val="20"/>
          <w:lang w:val="en-GB"/>
        </w:rPr>
      </w:pPr>
      <w:r w:rsidRPr="00742CD7">
        <w:rPr>
          <w:rFonts w:ascii="Tahoma" w:hAnsi="Tahoma" w:cs="Tahoma"/>
          <w:color w:val="auto"/>
          <w:sz w:val="20"/>
          <w:szCs w:val="20"/>
          <w:lang w:val="en-GB"/>
        </w:rPr>
        <w:t>From a fiscal perspective, the post-Covid recovery marks a historic high in the number of immigrant taxpayers (4.6 million). Despite a still significant gap in average income between immigrants and natives, the fiscal balance of the immigrant population remains positive, with taxes and contributions exceeding welfare services dedicated to immigrants by 1.2 billion euros. In other words, immigrants are predominantly active workers and taxpayers, thus paying taxes and contributions and having a low impact on public spending. It must also be acknowledged that the fiscal contribution, as well as the demographic one, represents a concrete positive input, though it is not sufficient to counter the ongoing trends in our country. Demographic scenarios indicate a trend towards numerical parity between workers and pensioners, which is evidently unsustainable for the current system. Immigration, therefore, is a necessary but not sufficient condition to address the ongoing demographic winter.</w:t>
      </w:r>
    </w:p>
    <w:p w14:paraId="47156216" w14:textId="7CBC54AC" w:rsidR="00BB7768" w:rsidRPr="00742CD7" w:rsidRDefault="005B040A" w:rsidP="00CE4E51">
      <w:pPr>
        <w:spacing w:after="0" w:line="360" w:lineRule="auto"/>
        <w:jc w:val="both"/>
        <w:rPr>
          <w:rFonts w:ascii="Tahoma" w:hAnsi="Tahoma" w:cs="Tahoma"/>
          <w:color w:val="auto"/>
          <w:sz w:val="20"/>
          <w:szCs w:val="20"/>
          <w:lang w:val="en-GB"/>
        </w:rPr>
      </w:pPr>
      <w:r w:rsidRPr="005B040A">
        <w:rPr>
          <w:rFonts w:ascii="Tahoma" w:hAnsi="Tahoma" w:cs="Tahoma"/>
          <w:color w:val="auto"/>
          <w:sz w:val="20"/>
          <w:szCs w:val="20"/>
          <w:lang w:val="en-GB"/>
        </w:rPr>
        <w:t xml:space="preserve">Finally, the role of immigrants in supporting families in their countries of origin, primarily through remittances, is significant. According to the World Bank, “remittances are a vital source of household income for low- and middle-income countries. They alleviate poverty, improve nutritional outcomes, and are associated with higher birth weights and higher school </w:t>
      </w:r>
      <w:proofErr w:type="spellStart"/>
      <w:r w:rsidRPr="005B040A">
        <w:rPr>
          <w:rFonts w:ascii="Tahoma" w:hAnsi="Tahoma" w:cs="Tahoma"/>
          <w:color w:val="auto"/>
          <w:sz w:val="20"/>
          <w:szCs w:val="20"/>
          <w:lang w:val="en-GB"/>
        </w:rPr>
        <w:t>enrollment</w:t>
      </w:r>
      <w:proofErr w:type="spellEnd"/>
      <w:r w:rsidRPr="005B040A">
        <w:rPr>
          <w:rFonts w:ascii="Tahoma" w:hAnsi="Tahoma" w:cs="Tahoma"/>
          <w:color w:val="auto"/>
          <w:sz w:val="20"/>
          <w:szCs w:val="20"/>
          <w:lang w:val="en-GB"/>
        </w:rPr>
        <w:t xml:space="preserve"> rates for children in disadvantaged families. Studies show that remittances help recipient families strengthen resilience, for example by funding better housing and coping with losses following disasters.” In 2023, remittances sent from Italy amounted to 8.2 billion euros, which translates to an average of 133 euros per month per resident immigrant.</w:t>
      </w:r>
    </w:p>
    <w:p w14:paraId="1A60D1E4" w14:textId="151447B8" w:rsidR="002B39CE" w:rsidRDefault="002B39CE" w:rsidP="00BB7768">
      <w:pPr>
        <w:spacing w:after="0" w:line="240" w:lineRule="auto"/>
        <w:ind w:left="57"/>
        <w:jc w:val="both"/>
        <w:rPr>
          <w:rFonts w:ascii="Tahoma" w:hAnsi="Tahoma" w:cs="Tahoma"/>
          <w:b/>
          <w:bCs/>
          <w:i/>
          <w:iCs/>
          <w:sz w:val="20"/>
          <w:szCs w:val="20"/>
          <w:lang w:val="en-GB"/>
        </w:rPr>
      </w:pPr>
    </w:p>
    <w:p w14:paraId="461017D7" w14:textId="726F5D35" w:rsidR="00963DD2" w:rsidRDefault="00963DD2" w:rsidP="00BB7768">
      <w:pPr>
        <w:spacing w:after="0" w:line="240" w:lineRule="auto"/>
        <w:ind w:left="57"/>
        <w:jc w:val="both"/>
        <w:rPr>
          <w:rFonts w:ascii="Tahoma" w:hAnsi="Tahoma" w:cs="Tahoma"/>
          <w:b/>
          <w:bCs/>
          <w:i/>
          <w:iCs/>
          <w:sz w:val="20"/>
          <w:szCs w:val="20"/>
          <w:lang w:val="en-GB"/>
        </w:rPr>
      </w:pPr>
    </w:p>
    <w:p w14:paraId="3557ACBF" w14:textId="7F8AE3D7" w:rsidR="00963DD2" w:rsidRDefault="00963DD2" w:rsidP="00BB7768">
      <w:pPr>
        <w:spacing w:after="0" w:line="240" w:lineRule="auto"/>
        <w:ind w:left="57"/>
        <w:jc w:val="both"/>
        <w:rPr>
          <w:rFonts w:ascii="Tahoma" w:hAnsi="Tahoma" w:cs="Tahoma"/>
          <w:b/>
          <w:bCs/>
          <w:i/>
          <w:iCs/>
          <w:sz w:val="20"/>
          <w:szCs w:val="20"/>
          <w:lang w:val="en-GB"/>
        </w:rPr>
      </w:pPr>
    </w:p>
    <w:p w14:paraId="0E53A1C0" w14:textId="3970F2EE" w:rsidR="00963DD2" w:rsidRDefault="00963DD2" w:rsidP="00BB7768">
      <w:pPr>
        <w:spacing w:after="0" w:line="240" w:lineRule="auto"/>
        <w:ind w:left="57"/>
        <w:jc w:val="both"/>
        <w:rPr>
          <w:rFonts w:ascii="Tahoma" w:hAnsi="Tahoma" w:cs="Tahoma"/>
          <w:b/>
          <w:bCs/>
          <w:i/>
          <w:iCs/>
          <w:sz w:val="20"/>
          <w:szCs w:val="20"/>
          <w:lang w:val="en-GB"/>
        </w:rPr>
      </w:pPr>
    </w:p>
    <w:p w14:paraId="3D24666F" w14:textId="387A7F39" w:rsidR="00963DD2" w:rsidRDefault="00963DD2" w:rsidP="00BB7768">
      <w:pPr>
        <w:spacing w:after="0" w:line="240" w:lineRule="auto"/>
        <w:ind w:left="57"/>
        <w:jc w:val="both"/>
        <w:rPr>
          <w:rFonts w:ascii="Tahoma" w:hAnsi="Tahoma" w:cs="Tahoma"/>
          <w:b/>
          <w:bCs/>
          <w:i/>
          <w:iCs/>
          <w:sz w:val="20"/>
          <w:szCs w:val="20"/>
          <w:lang w:val="en-GB"/>
        </w:rPr>
      </w:pPr>
    </w:p>
    <w:p w14:paraId="4E6F91D0" w14:textId="2939A5D1" w:rsidR="00963DD2" w:rsidRDefault="00963DD2" w:rsidP="00BB7768">
      <w:pPr>
        <w:spacing w:after="0" w:line="240" w:lineRule="auto"/>
        <w:ind w:left="57"/>
        <w:jc w:val="both"/>
        <w:rPr>
          <w:rFonts w:ascii="Tahoma" w:hAnsi="Tahoma" w:cs="Tahoma"/>
          <w:b/>
          <w:bCs/>
          <w:i/>
          <w:iCs/>
          <w:sz w:val="20"/>
          <w:szCs w:val="20"/>
          <w:lang w:val="en-GB"/>
        </w:rPr>
      </w:pPr>
    </w:p>
    <w:p w14:paraId="239B00D2" w14:textId="0C7B2D1E" w:rsidR="00963DD2" w:rsidRDefault="00963DD2" w:rsidP="00BB7768">
      <w:pPr>
        <w:spacing w:after="0" w:line="240" w:lineRule="auto"/>
        <w:ind w:left="57"/>
        <w:jc w:val="both"/>
        <w:rPr>
          <w:rFonts w:ascii="Tahoma" w:hAnsi="Tahoma" w:cs="Tahoma"/>
          <w:b/>
          <w:bCs/>
          <w:i/>
          <w:iCs/>
          <w:sz w:val="20"/>
          <w:szCs w:val="20"/>
          <w:lang w:val="en-GB"/>
        </w:rPr>
      </w:pPr>
    </w:p>
    <w:p w14:paraId="6C7E8D8B" w14:textId="4E090FCC" w:rsidR="00963DD2" w:rsidRDefault="00963DD2" w:rsidP="00BB7768">
      <w:pPr>
        <w:spacing w:after="0" w:line="240" w:lineRule="auto"/>
        <w:ind w:left="57"/>
        <w:jc w:val="both"/>
        <w:rPr>
          <w:rFonts w:ascii="Tahoma" w:hAnsi="Tahoma" w:cs="Tahoma"/>
          <w:b/>
          <w:bCs/>
          <w:i/>
          <w:iCs/>
          <w:sz w:val="20"/>
          <w:szCs w:val="20"/>
          <w:lang w:val="en-GB"/>
        </w:rPr>
      </w:pPr>
    </w:p>
    <w:p w14:paraId="4CAFDA27" w14:textId="77777777" w:rsidR="00963DD2" w:rsidRPr="00742CD7" w:rsidRDefault="00963DD2" w:rsidP="00BB7768">
      <w:pPr>
        <w:spacing w:after="0" w:line="240" w:lineRule="auto"/>
        <w:ind w:left="57"/>
        <w:jc w:val="both"/>
        <w:rPr>
          <w:rFonts w:ascii="Tahoma" w:hAnsi="Tahoma" w:cs="Tahoma"/>
          <w:b/>
          <w:bCs/>
          <w:i/>
          <w:iCs/>
          <w:sz w:val="20"/>
          <w:szCs w:val="20"/>
          <w:lang w:val="en-GB"/>
        </w:rPr>
      </w:pPr>
    </w:p>
    <w:p w14:paraId="0F60E0E3" w14:textId="77777777" w:rsidR="00CE4E51" w:rsidRPr="00742CD7" w:rsidRDefault="00CE4E51" w:rsidP="00BB7768">
      <w:pPr>
        <w:spacing w:after="0" w:line="240" w:lineRule="auto"/>
        <w:ind w:left="57"/>
        <w:jc w:val="both"/>
        <w:rPr>
          <w:rFonts w:ascii="Tahoma" w:hAnsi="Tahoma" w:cs="Tahoma"/>
          <w:b/>
          <w:bCs/>
          <w:i/>
          <w:iCs/>
          <w:sz w:val="20"/>
          <w:szCs w:val="20"/>
          <w:lang w:val="en-GB"/>
        </w:rPr>
      </w:pPr>
    </w:p>
    <w:p w14:paraId="12A01BC4" w14:textId="6F1809B6" w:rsidR="00CE4E51" w:rsidRPr="00742CD7" w:rsidRDefault="00DD1A94" w:rsidP="00CE4E51">
      <w:pPr>
        <w:pStyle w:val="Standard"/>
        <w:ind w:left="57"/>
        <w:jc w:val="both"/>
        <w:rPr>
          <w:rFonts w:ascii="Tahoma" w:hAnsi="Tahoma" w:cs="Tahoma"/>
          <w:sz w:val="20"/>
          <w:szCs w:val="20"/>
          <w:lang w:val="en-GB"/>
        </w:rPr>
      </w:pPr>
      <w:r w:rsidRPr="00742CD7">
        <w:rPr>
          <w:rFonts w:ascii="Tahoma" w:hAnsi="Tahoma" w:cs="Tahoma"/>
          <w:b/>
          <w:sz w:val="20"/>
          <w:szCs w:val="20"/>
          <w:lang w:val="en-GB"/>
        </w:rPr>
        <w:lastRenderedPageBreak/>
        <w:t xml:space="preserve">Estimates of </w:t>
      </w:r>
      <w:r w:rsidR="005B040A" w:rsidRPr="00742CD7">
        <w:rPr>
          <w:rFonts w:ascii="Tahoma" w:hAnsi="Tahoma" w:cs="Tahoma"/>
          <w:b/>
          <w:sz w:val="20"/>
          <w:szCs w:val="20"/>
          <w:lang w:val="en-GB"/>
        </w:rPr>
        <w:t>revenues</w:t>
      </w:r>
      <w:r w:rsidRPr="00742CD7">
        <w:rPr>
          <w:rFonts w:ascii="Tahoma" w:hAnsi="Tahoma" w:cs="Tahoma"/>
          <w:b/>
          <w:sz w:val="20"/>
          <w:szCs w:val="20"/>
          <w:lang w:val="en-GB"/>
        </w:rPr>
        <w:t xml:space="preserve"> and expenditures due to foreign presence, average cost</w:t>
      </w:r>
      <w:r w:rsidR="00CE4E51" w:rsidRPr="00742CD7">
        <w:rPr>
          <w:rFonts w:ascii="Tahoma" w:hAnsi="Tahoma" w:cs="Tahoma"/>
          <w:b/>
          <w:sz w:val="20"/>
          <w:szCs w:val="20"/>
          <w:lang w:val="en-GB"/>
        </w:rPr>
        <w:t>, 2022</w:t>
      </w:r>
    </w:p>
    <w:tbl>
      <w:tblPr>
        <w:tblW w:w="9793" w:type="dxa"/>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3686"/>
        <w:gridCol w:w="1392"/>
        <w:gridCol w:w="168"/>
        <w:gridCol w:w="3220"/>
        <w:gridCol w:w="1327"/>
      </w:tblGrid>
      <w:tr w:rsidR="00CE4E51" w:rsidRPr="00742CD7" w14:paraId="1BD09317" w14:textId="77777777" w:rsidTr="00C62F05">
        <w:trPr>
          <w:trHeight w:val="572"/>
        </w:trPr>
        <w:tc>
          <w:tcPr>
            <w:tcW w:w="3686" w:type="dxa"/>
            <w:tcBorders>
              <w:top w:val="single" w:sz="4" w:space="0" w:color="000000"/>
              <w:bottom w:val="single" w:sz="4" w:space="0" w:color="000000"/>
            </w:tcBorders>
            <w:shd w:val="clear" w:color="auto" w:fill="auto"/>
            <w:vAlign w:val="center"/>
          </w:tcPr>
          <w:p w14:paraId="2355E3A1" w14:textId="55828C51" w:rsidR="00CE4E51" w:rsidRPr="00742CD7" w:rsidRDefault="005B040A" w:rsidP="00C62F05">
            <w:pPr>
              <w:pStyle w:val="Standard"/>
              <w:ind w:left="57"/>
              <w:rPr>
                <w:rFonts w:ascii="Tahoma" w:hAnsi="Tahoma" w:cs="Tahoma"/>
                <w:b/>
                <w:color w:val="000000"/>
                <w:sz w:val="20"/>
                <w:szCs w:val="20"/>
                <w:lang w:val="en-GB"/>
              </w:rPr>
            </w:pPr>
            <w:r w:rsidRPr="00742CD7">
              <w:rPr>
                <w:rFonts w:ascii="Tahoma" w:hAnsi="Tahoma" w:cs="Tahoma"/>
                <w:b/>
                <w:color w:val="000000"/>
                <w:sz w:val="20"/>
                <w:szCs w:val="20"/>
                <w:lang w:val="en-GB"/>
              </w:rPr>
              <w:t>Revenues</w:t>
            </w:r>
          </w:p>
        </w:tc>
        <w:tc>
          <w:tcPr>
            <w:tcW w:w="1392" w:type="dxa"/>
            <w:tcBorders>
              <w:top w:val="single" w:sz="4" w:space="0" w:color="000000"/>
              <w:bottom w:val="single" w:sz="4" w:space="0" w:color="000000"/>
            </w:tcBorders>
            <w:shd w:val="clear" w:color="auto" w:fill="auto"/>
            <w:vAlign w:val="center"/>
          </w:tcPr>
          <w:p w14:paraId="310A5E86" w14:textId="057C82A2" w:rsidR="00CE4E51" w:rsidRPr="00742CD7" w:rsidRDefault="005B040A" w:rsidP="00C62F05">
            <w:pPr>
              <w:pStyle w:val="Standard"/>
              <w:ind w:left="57"/>
              <w:jc w:val="center"/>
              <w:rPr>
                <w:rFonts w:ascii="Tahoma" w:hAnsi="Tahoma" w:cs="Tahoma"/>
                <w:b/>
                <w:bCs/>
                <w:sz w:val="20"/>
                <w:szCs w:val="20"/>
                <w:lang w:val="en-GB"/>
              </w:rPr>
            </w:pPr>
            <w:r w:rsidRPr="00742CD7">
              <w:rPr>
                <w:rFonts w:ascii="Tahoma" w:hAnsi="Tahoma" w:cs="Tahoma"/>
                <w:b/>
                <w:bCs/>
                <w:sz w:val="20"/>
                <w:szCs w:val="20"/>
                <w:lang w:val="en-GB"/>
              </w:rPr>
              <w:t>Billion</w:t>
            </w:r>
          </w:p>
          <w:p w14:paraId="75D8F5A5" w14:textId="77777777" w:rsidR="00CE4E51" w:rsidRPr="00742CD7" w:rsidRDefault="00CE4E51" w:rsidP="00C62F05">
            <w:pPr>
              <w:pStyle w:val="Standard"/>
              <w:ind w:left="57"/>
              <w:jc w:val="center"/>
              <w:rPr>
                <w:rFonts w:ascii="Tahoma" w:hAnsi="Tahoma" w:cs="Tahoma"/>
                <w:b/>
                <w:bCs/>
                <w:sz w:val="20"/>
                <w:szCs w:val="20"/>
                <w:lang w:val="en-GB"/>
              </w:rPr>
            </w:pPr>
            <w:r w:rsidRPr="00742CD7">
              <w:rPr>
                <w:rFonts w:ascii="Tahoma" w:hAnsi="Tahoma" w:cs="Tahoma"/>
                <w:b/>
                <w:bCs/>
                <w:sz w:val="20"/>
                <w:szCs w:val="20"/>
                <w:lang w:val="en-GB"/>
              </w:rPr>
              <w:t>Euro</w:t>
            </w:r>
          </w:p>
        </w:tc>
        <w:tc>
          <w:tcPr>
            <w:tcW w:w="168" w:type="dxa"/>
            <w:tcBorders>
              <w:top w:val="single" w:sz="4" w:space="0" w:color="000000"/>
              <w:bottom w:val="single" w:sz="4" w:space="0" w:color="000000"/>
            </w:tcBorders>
            <w:shd w:val="clear" w:color="auto" w:fill="auto"/>
            <w:vAlign w:val="center"/>
          </w:tcPr>
          <w:p w14:paraId="1F54B946" w14:textId="77777777" w:rsidR="00CE4E51" w:rsidRPr="00742CD7" w:rsidRDefault="00CE4E51" w:rsidP="00C62F05">
            <w:pPr>
              <w:pStyle w:val="Standard"/>
              <w:snapToGrid w:val="0"/>
              <w:ind w:left="57"/>
              <w:jc w:val="center"/>
              <w:rPr>
                <w:rFonts w:ascii="Tahoma" w:hAnsi="Tahoma" w:cs="Tahoma"/>
                <w:b/>
                <w:color w:val="000000"/>
                <w:sz w:val="20"/>
                <w:szCs w:val="20"/>
                <w:lang w:val="en-GB"/>
              </w:rPr>
            </w:pPr>
          </w:p>
        </w:tc>
        <w:tc>
          <w:tcPr>
            <w:tcW w:w="3220" w:type="dxa"/>
            <w:tcBorders>
              <w:top w:val="single" w:sz="4" w:space="0" w:color="000000"/>
              <w:bottom w:val="single" w:sz="4" w:space="0" w:color="000000"/>
            </w:tcBorders>
            <w:shd w:val="clear" w:color="auto" w:fill="auto"/>
            <w:vAlign w:val="center"/>
          </w:tcPr>
          <w:p w14:paraId="10546F80" w14:textId="6CB46D94" w:rsidR="00CE4E51" w:rsidRPr="00742CD7" w:rsidRDefault="005B040A" w:rsidP="00C62F05">
            <w:pPr>
              <w:pStyle w:val="Standard"/>
              <w:ind w:left="57"/>
              <w:rPr>
                <w:rFonts w:ascii="Tahoma" w:hAnsi="Tahoma" w:cs="Tahoma"/>
                <w:b/>
                <w:color w:val="000000"/>
                <w:sz w:val="20"/>
                <w:szCs w:val="20"/>
                <w:lang w:val="en-GB"/>
              </w:rPr>
            </w:pPr>
            <w:r w:rsidRPr="00742CD7">
              <w:rPr>
                <w:rFonts w:ascii="Tahoma" w:hAnsi="Tahoma" w:cs="Tahoma"/>
                <w:b/>
                <w:color w:val="000000"/>
                <w:sz w:val="20"/>
                <w:szCs w:val="20"/>
                <w:lang w:val="en-GB"/>
              </w:rPr>
              <w:t>Expenditures</w:t>
            </w:r>
          </w:p>
        </w:tc>
        <w:tc>
          <w:tcPr>
            <w:tcW w:w="1327" w:type="dxa"/>
            <w:tcBorders>
              <w:top w:val="single" w:sz="4" w:space="0" w:color="000000"/>
              <w:bottom w:val="single" w:sz="4" w:space="0" w:color="000000"/>
            </w:tcBorders>
            <w:shd w:val="clear" w:color="auto" w:fill="auto"/>
            <w:vAlign w:val="center"/>
          </w:tcPr>
          <w:p w14:paraId="12463667" w14:textId="16614E72" w:rsidR="00CE4E51" w:rsidRPr="00742CD7" w:rsidRDefault="005B040A" w:rsidP="00C62F05">
            <w:pPr>
              <w:pStyle w:val="Standard"/>
              <w:ind w:left="57"/>
              <w:jc w:val="center"/>
              <w:rPr>
                <w:rFonts w:ascii="Tahoma" w:hAnsi="Tahoma" w:cs="Tahoma"/>
                <w:b/>
                <w:bCs/>
                <w:sz w:val="20"/>
                <w:szCs w:val="20"/>
                <w:lang w:val="en-GB"/>
              </w:rPr>
            </w:pPr>
            <w:r w:rsidRPr="00742CD7">
              <w:rPr>
                <w:rFonts w:ascii="Tahoma" w:hAnsi="Tahoma" w:cs="Tahoma"/>
                <w:b/>
                <w:bCs/>
                <w:sz w:val="20"/>
                <w:szCs w:val="20"/>
                <w:lang w:val="en-GB"/>
              </w:rPr>
              <w:t>Billion</w:t>
            </w:r>
          </w:p>
          <w:p w14:paraId="2AA1CA09" w14:textId="77777777" w:rsidR="00CE4E51" w:rsidRPr="00742CD7" w:rsidRDefault="00CE4E51" w:rsidP="00C62F05">
            <w:pPr>
              <w:pStyle w:val="Standard"/>
              <w:ind w:left="57"/>
              <w:jc w:val="center"/>
              <w:rPr>
                <w:rFonts w:ascii="Tahoma" w:hAnsi="Tahoma" w:cs="Tahoma"/>
                <w:b/>
                <w:bCs/>
                <w:sz w:val="20"/>
                <w:szCs w:val="20"/>
                <w:lang w:val="en-GB"/>
              </w:rPr>
            </w:pPr>
            <w:r w:rsidRPr="00742CD7">
              <w:rPr>
                <w:rFonts w:ascii="Tahoma" w:hAnsi="Tahoma" w:cs="Tahoma"/>
                <w:b/>
                <w:bCs/>
                <w:sz w:val="20"/>
                <w:szCs w:val="20"/>
                <w:lang w:val="en-GB"/>
              </w:rPr>
              <w:t>Euro</w:t>
            </w:r>
          </w:p>
        </w:tc>
      </w:tr>
      <w:tr w:rsidR="00CE4E51" w:rsidRPr="00742CD7" w14:paraId="28B413D0" w14:textId="77777777" w:rsidTr="00C62F05">
        <w:trPr>
          <w:trHeight w:val="300"/>
        </w:trPr>
        <w:tc>
          <w:tcPr>
            <w:tcW w:w="3686" w:type="dxa"/>
            <w:tcBorders>
              <w:top w:val="single" w:sz="4" w:space="0" w:color="000000"/>
            </w:tcBorders>
            <w:shd w:val="clear" w:color="auto" w:fill="auto"/>
            <w:vAlign w:val="center"/>
          </w:tcPr>
          <w:p w14:paraId="2BA78856" w14:textId="77777777" w:rsidR="00CE4E51" w:rsidRPr="00742CD7" w:rsidRDefault="00CE4E51" w:rsidP="00C62F05">
            <w:pPr>
              <w:pStyle w:val="Standard"/>
              <w:ind w:left="57"/>
              <w:rPr>
                <w:rFonts w:ascii="Tahoma" w:hAnsi="Tahoma" w:cs="Tahoma"/>
                <w:color w:val="000000"/>
                <w:sz w:val="20"/>
                <w:szCs w:val="20"/>
                <w:lang w:val="en-GB"/>
              </w:rPr>
            </w:pPr>
            <w:proofErr w:type="spellStart"/>
            <w:r w:rsidRPr="00742CD7">
              <w:rPr>
                <w:rFonts w:ascii="Tahoma" w:hAnsi="Tahoma" w:cs="Tahoma"/>
                <w:color w:val="000000"/>
                <w:sz w:val="20"/>
                <w:szCs w:val="20"/>
                <w:lang w:val="en-GB"/>
              </w:rPr>
              <w:t>Irpef</w:t>
            </w:r>
            <w:proofErr w:type="spellEnd"/>
          </w:p>
        </w:tc>
        <w:tc>
          <w:tcPr>
            <w:tcW w:w="1392" w:type="dxa"/>
            <w:tcBorders>
              <w:top w:val="single" w:sz="4" w:space="0" w:color="000000"/>
            </w:tcBorders>
            <w:shd w:val="clear" w:color="auto" w:fill="auto"/>
            <w:vAlign w:val="center"/>
          </w:tcPr>
          <w:p w14:paraId="552620CF" w14:textId="7DB52B17"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4</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5</w:t>
            </w:r>
          </w:p>
        </w:tc>
        <w:tc>
          <w:tcPr>
            <w:tcW w:w="168" w:type="dxa"/>
            <w:tcBorders>
              <w:top w:val="single" w:sz="4" w:space="0" w:color="000000"/>
            </w:tcBorders>
            <w:shd w:val="clear" w:color="auto" w:fill="auto"/>
            <w:vAlign w:val="center"/>
          </w:tcPr>
          <w:p w14:paraId="32C58FAC"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tcBorders>
              <w:top w:val="single" w:sz="4" w:space="0" w:color="000000"/>
            </w:tcBorders>
            <w:shd w:val="clear" w:color="auto" w:fill="auto"/>
            <w:vAlign w:val="center"/>
          </w:tcPr>
          <w:p w14:paraId="60259798" w14:textId="75641B7F"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Health</w:t>
            </w:r>
          </w:p>
        </w:tc>
        <w:tc>
          <w:tcPr>
            <w:tcW w:w="1327" w:type="dxa"/>
            <w:tcBorders>
              <w:top w:val="single" w:sz="4" w:space="0" w:color="000000"/>
            </w:tcBorders>
            <w:shd w:val="clear" w:color="auto" w:fill="auto"/>
            <w:vAlign w:val="center"/>
          </w:tcPr>
          <w:p w14:paraId="1D358174" w14:textId="6AD7A447"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6</w:t>
            </w:r>
            <w:r w:rsidR="00D62714">
              <w:rPr>
                <w:rFonts w:ascii="Tahoma" w:hAnsi="Tahoma" w:cs="Tahoma"/>
                <w:color w:val="000000"/>
                <w:sz w:val="20"/>
                <w:szCs w:val="20"/>
                <w:lang w:val="en-GB"/>
              </w:rPr>
              <w:t>.0</w:t>
            </w:r>
          </w:p>
        </w:tc>
      </w:tr>
      <w:tr w:rsidR="00CE4E51" w:rsidRPr="00742CD7" w14:paraId="4B849E19" w14:textId="77777777" w:rsidTr="00C62F05">
        <w:trPr>
          <w:trHeight w:val="300"/>
        </w:trPr>
        <w:tc>
          <w:tcPr>
            <w:tcW w:w="3686" w:type="dxa"/>
            <w:shd w:val="clear" w:color="auto" w:fill="auto"/>
            <w:vAlign w:val="center"/>
          </w:tcPr>
          <w:p w14:paraId="1F68CFC8" w14:textId="399E776F"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VAT</w:t>
            </w:r>
          </w:p>
        </w:tc>
        <w:tc>
          <w:tcPr>
            <w:tcW w:w="1392" w:type="dxa"/>
            <w:shd w:val="clear" w:color="auto" w:fill="auto"/>
            <w:vAlign w:val="center"/>
          </w:tcPr>
          <w:p w14:paraId="12F7EE7F" w14:textId="18FD7D9F"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4</w:t>
            </w:r>
            <w:r w:rsidR="00D62714">
              <w:rPr>
                <w:rFonts w:ascii="Tahoma" w:hAnsi="Tahoma" w:cs="Tahoma"/>
                <w:color w:val="000000"/>
                <w:sz w:val="20"/>
                <w:szCs w:val="20"/>
                <w:lang w:val="en-GB"/>
              </w:rPr>
              <w:t>.0</w:t>
            </w:r>
          </w:p>
        </w:tc>
        <w:tc>
          <w:tcPr>
            <w:tcW w:w="168" w:type="dxa"/>
            <w:shd w:val="clear" w:color="auto" w:fill="auto"/>
            <w:vAlign w:val="center"/>
          </w:tcPr>
          <w:p w14:paraId="4C853283"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shd w:val="clear" w:color="auto" w:fill="auto"/>
            <w:vAlign w:val="center"/>
          </w:tcPr>
          <w:p w14:paraId="2CEFA428" w14:textId="6EE5BC82" w:rsidR="00CE4E51" w:rsidRPr="00742CD7" w:rsidRDefault="00CE4E51"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Sc</w:t>
            </w:r>
            <w:r w:rsidR="006C111D" w:rsidRPr="00742CD7">
              <w:rPr>
                <w:rFonts w:ascii="Tahoma" w:hAnsi="Tahoma" w:cs="Tahoma"/>
                <w:color w:val="000000"/>
                <w:sz w:val="20"/>
                <w:szCs w:val="20"/>
                <w:lang w:val="en-GB"/>
              </w:rPr>
              <w:t>hool</w:t>
            </w:r>
          </w:p>
        </w:tc>
        <w:tc>
          <w:tcPr>
            <w:tcW w:w="1327" w:type="dxa"/>
            <w:shd w:val="clear" w:color="auto" w:fill="auto"/>
            <w:vAlign w:val="center"/>
          </w:tcPr>
          <w:p w14:paraId="007960D6" w14:textId="55143A12"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6</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5</w:t>
            </w:r>
          </w:p>
        </w:tc>
      </w:tr>
      <w:tr w:rsidR="00CE4E51" w:rsidRPr="00742CD7" w14:paraId="6E16E747" w14:textId="77777777" w:rsidTr="00C62F05">
        <w:trPr>
          <w:trHeight w:val="300"/>
        </w:trPr>
        <w:tc>
          <w:tcPr>
            <w:tcW w:w="3686" w:type="dxa"/>
            <w:shd w:val="clear" w:color="auto" w:fill="auto"/>
            <w:vAlign w:val="center"/>
          </w:tcPr>
          <w:p w14:paraId="39B2134E" w14:textId="40E28768" w:rsidR="00CE4E51" w:rsidRPr="00742CD7" w:rsidRDefault="00CE4E51"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C</w:t>
            </w:r>
            <w:r w:rsidR="006C111D" w:rsidRPr="00742CD7">
              <w:rPr>
                <w:rFonts w:ascii="Tahoma" w:hAnsi="Tahoma" w:cs="Tahoma"/>
                <w:color w:val="000000"/>
                <w:sz w:val="20"/>
                <w:szCs w:val="20"/>
                <w:lang w:val="en-GB"/>
              </w:rPr>
              <w:t>onsumptions</w:t>
            </w:r>
            <w:r w:rsidRPr="00742CD7">
              <w:rPr>
                <w:rFonts w:ascii="Tahoma" w:hAnsi="Tahoma" w:cs="Tahoma"/>
                <w:color w:val="000000"/>
                <w:sz w:val="20"/>
                <w:szCs w:val="20"/>
                <w:lang w:val="en-GB"/>
              </w:rPr>
              <w:t xml:space="preserve"> (t</w:t>
            </w:r>
            <w:r w:rsidR="006C111D" w:rsidRPr="00742CD7">
              <w:rPr>
                <w:rFonts w:ascii="Tahoma" w:hAnsi="Tahoma" w:cs="Tahoma"/>
                <w:color w:val="000000"/>
                <w:sz w:val="20"/>
                <w:szCs w:val="20"/>
                <w:lang w:val="en-GB"/>
              </w:rPr>
              <w:t>obacco</w:t>
            </w:r>
            <w:r w:rsidRPr="00742CD7">
              <w:rPr>
                <w:rFonts w:ascii="Tahoma" w:hAnsi="Tahoma" w:cs="Tahoma"/>
                <w:color w:val="000000"/>
                <w:sz w:val="20"/>
                <w:szCs w:val="20"/>
                <w:lang w:val="en-GB"/>
              </w:rPr>
              <w:t>, lotter</w:t>
            </w:r>
            <w:r w:rsidR="006C111D" w:rsidRPr="00742CD7">
              <w:rPr>
                <w:rFonts w:ascii="Tahoma" w:hAnsi="Tahoma" w:cs="Tahoma"/>
                <w:color w:val="000000"/>
                <w:sz w:val="20"/>
                <w:szCs w:val="20"/>
                <w:lang w:val="en-GB"/>
              </w:rPr>
              <w:t>ies</w:t>
            </w:r>
            <w:r w:rsidRPr="00742CD7">
              <w:rPr>
                <w:rFonts w:ascii="Tahoma" w:hAnsi="Tahoma" w:cs="Tahoma"/>
                <w:color w:val="000000"/>
                <w:sz w:val="20"/>
                <w:szCs w:val="20"/>
                <w:lang w:val="en-GB"/>
              </w:rPr>
              <w:t xml:space="preserve">, </w:t>
            </w:r>
            <w:r w:rsidR="006C111D" w:rsidRPr="00742CD7">
              <w:rPr>
                <w:rFonts w:ascii="Tahoma" w:hAnsi="Tahoma" w:cs="Tahoma"/>
                <w:color w:val="000000"/>
                <w:sz w:val="20"/>
                <w:szCs w:val="20"/>
                <w:lang w:val="en-GB"/>
              </w:rPr>
              <w:t>car taxes</w:t>
            </w:r>
            <w:r w:rsidRPr="00742CD7">
              <w:rPr>
                <w:rFonts w:ascii="Tahoma" w:hAnsi="Tahoma" w:cs="Tahoma"/>
                <w:color w:val="000000"/>
                <w:sz w:val="20"/>
                <w:szCs w:val="20"/>
                <w:lang w:val="en-GB"/>
              </w:rPr>
              <w:t xml:space="preserve">, </w:t>
            </w:r>
            <w:r w:rsidR="006C111D" w:rsidRPr="00742CD7">
              <w:rPr>
                <w:rFonts w:ascii="Tahoma" w:hAnsi="Tahoma" w:cs="Tahoma"/>
                <w:color w:val="000000"/>
                <w:sz w:val="20"/>
                <w:szCs w:val="20"/>
                <w:lang w:val="en-GB"/>
              </w:rPr>
              <w:t>fuels</w:t>
            </w:r>
            <w:r w:rsidRPr="00742CD7">
              <w:rPr>
                <w:rFonts w:ascii="Tahoma" w:hAnsi="Tahoma" w:cs="Tahoma"/>
                <w:color w:val="000000"/>
                <w:sz w:val="20"/>
                <w:szCs w:val="20"/>
                <w:lang w:val="en-GB"/>
              </w:rPr>
              <w:t>, TV</w:t>
            </w:r>
            <w:r w:rsidR="006C111D" w:rsidRPr="00742CD7">
              <w:rPr>
                <w:rFonts w:ascii="Tahoma" w:hAnsi="Tahoma" w:cs="Tahoma"/>
                <w:color w:val="000000"/>
                <w:sz w:val="20"/>
                <w:szCs w:val="20"/>
                <w:lang w:val="en-GB"/>
              </w:rPr>
              <w:t xml:space="preserve"> license</w:t>
            </w:r>
            <w:r w:rsidRPr="00742CD7">
              <w:rPr>
                <w:rFonts w:ascii="Tahoma" w:hAnsi="Tahoma" w:cs="Tahoma"/>
                <w:color w:val="000000"/>
                <w:sz w:val="20"/>
                <w:szCs w:val="20"/>
                <w:lang w:val="en-GB"/>
              </w:rPr>
              <w:t>)</w:t>
            </w:r>
          </w:p>
        </w:tc>
        <w:tc>
          <w:tcPr>
            <w:tcW w:w="1392" w:type="dxa"/>
            <w:shd w:val="clear" w:color="auto" w:fill="auto"/>
            <w:vAlign w:val="center"/>
          </w:tcPr>
          <w:p w14:paraId="7F9B5DB1" w14:textId="6767AAE7"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3</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3</w:t>
            </w:r>
          </w:p>
        </w:tc>
        <w:tc>
          <w:tcPr>
            <w:tcW w:w="168" w:type="dxa"/>
            <w:shd w:val="clear" w:color="auto" w:fill="auto"/>
            <w:vAlign w:val="center"/>
          </w:tcPr>
          <w:p w14:paraId="06663EA6"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shd w:val="clear" w:color="auto" w:fill="auto"/>
            <w:vAlign w:val="center"/>
          </w:tcPr>
          <w:p w14:paraId="1B7E16C9" w14:textId="17C68E31"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Social and local services</w:t>
            </w:r>
            <w:r w:rsidR="00CE4E51" w:rsidRPr="00742CD7">
              <w:rPr>
                <w:rFonts w:ascii="Tahoma" w:hAnsi="Tahoma" w:cs="Tahoma"/>
                <w:color w:val="000000"/>
                <w:sz w:val="20"/>
                <w:szCs w:val="20"/>
                <w:lang w:val="en-GB"/>
              </w:rPr>
              <w:t xml:space="preserve">, </w:t>
            </w:r>
            <w:r w:rsidRPr="00742CD7">
              <w:rPr>
                <w:rFonts w:ascii="Tahoma" w:hAnsi="Tahoma" w:cs="Tahoma"/>
                <w:color w:val="000000"/>
                <w:sz w:val="20"/>
                <w:szCs w:val="20"/>
                <w:lang w:val="en-GB"/>
              </w:rPr>
              <w:t>public construction</w:t>
            </w:r>
          </w:p>
        </w:tc>
        <w:tc>
          <w:tcPr>
            <w:tcW w:w="1327" w:type="dxa"/>
            <w:shd w:val="clear" w:color="auto" w:fill="auto"/>
            <w:vAlign w:val="center"/>
          </w:tcPr>
          <w:p w14:paraId="4F3CE480" w14:textId="410317FD"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2</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4</w:t>
            </w:r>
          </w:p>
        </w:tc>
      </w:tr>
      <w:tr w:rsidR="00CE4E51" w:rsidRPr="00742CD7" w14:paraId="016A2380" w14:textId="77777777" w:rsidTr="00C62F05">
        <w:trPr>
          <w:trHeight w:val="300"/>
        </w:trPr>
        <w:tc>
          <w:tcPr>
            <w:tcW w:w="3686" w:type="dxa"/>
            <w:shd w:val="clear" w:color="auto" w:fill="auto"/>
            <w:vAlign w:val="center"/>
          </w:tcPr>
          <w:p w14:paraId="7FB37464" w14:textId="25030BE6"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Local consumptions</w:t>
            </w:r>
            <w:r w:rsidR="00CE4E51" w:rsidRPr="00742CD7">
              <w:rPr>
                <w:rFonts w:ascii="Tahoma" w:hAnsi="Tahoma" w:cs="Tahoma"/>
                <w:color w:val="000000"/>
                <w:sz w:val="20"/>
                <w:szCs w:val="20"/>
                <w:lang w:val="en-GB"/>
              </w:rPr>
              <w:t xml:space="preserve"> (IMU, TASI, gas </w:t>
            </w:r>
            <w:r w:rsidRPr="00742CD7">
              <w:rPr>
                <w:rFonts w:ascii="Tahoma" w:hAnsi="Tahoma" w:cs="Tahoma"/>
                <w:color w:val="000000"/>
                <w:sz w:val="20"/>
                <w:szCs w:val="20"/>
                <w:lang w:val="en-GB"/>
              </w:rPr>
              <w:t>and</w:t>
            </w:r>
            <w:r w:rsidR="00CE4E51" w:rsidRPr="00742CD7">
              <w:rPr>
                <w:rFonts w:ascii="Tahoma" w:hAnsi="Tahoma" w:cs="Tahoma"/>
                <w:color w:val="000000"/>
                <w:sz w:val="20"/>
                <w:szCs w:val="20"/>
                <w:lang w:val="en-GB"/>
              </w:rPr>
              <w:t xml:space="preserve"> energ</w:t>
            </w:r>
            <w:r w:rsidRPr="00742CD7">
              <w:rPr>
                <w:rFonts w:ascii="Tahoma" w:hAnsi="Tahoma" w:cs="Tahoma"/>
                <w:color w:val="000000"/>
                <w:sz w:val="20"/>
                <w:szCs w:val="20"/>
                <w:lang w:val="en-GB"/>
              </w:rPr>
              <w:t>y</w:t>
            </w:r>
            <w:r w:rsidR="00CE4E51" w:rsidRPr="00742CD7">
              <w:rPr>
                <w:rFonts w:ascii="Tahoma" w:hAnsi="Tahoma" w:cs="Tahoma"/>
                <w:color w:val="000000"/>
                <w:sz w:val="20"/>
                <w:szCs w:val="20"/>
                <w:lang w:val="en-GB"/>
              </w:rPr>
              <w:t>)</w:t>
            </w:r>
          </w:p>
        </w:tc>
        <w:tc>
          <w:tcPr>
            <w:tcW w:w="1392" w:type="dxa"/>
            <w:shd w:val="clear" w:color="auto" w:fill="auto"/>
            <w:vAlign w:val="center"/>
          </w:tcPr>
          <w:p w14:paraId="22852C39" w14:textId="18291FEF"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0</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9</w:t>
            </w:r>
          </w:p>
        </w:tc>
        <w:tc>
          <w:tcPr>
            <w:tcW w:w="168" w:type="dxa"/>
            <w:shd w:val="clear" w:color="auto" w:fill="auto"/>
            <w:vAlign w:val="center"/>
          </w:tcPr>
          <w:p w14:paraId="69FE3EFA"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shd w:val="clear" w:color="auto" w:fill="auto"/>
            <w:vAlign w:val="center"/>
          </w:tcPr>
          <w:p w14:paraId="59C2E678" w14:textId="6C98AB55"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Justice and security</w:t>
            </w:r>
          </w:p>
        </w:tc>
        <w:tc>
          <w:tcPr>
            <w:tcW w:w="1327" w:type="dxa"/>
            <w:shd w:val="clear" w:color="auto" w:fill="auto"/>
            <w:vAlign w:val="center"/>
          </w:tcPr>
          <w:p w14:paraId="251067C8" w14:textId="7F84B97B"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3</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2</w:t>
            </w:r>
          </w:p>
        </w:tc>
      </w:tr>
      <w:tr w:rsidR="00CE4E51" w:rsidRPr="00742CD7" w14:paraId="6BA0B312" w14:textId="77777777" w:rsidTr="00C62F05">
        <w:trPr>
          <w:trHeight w:val="300"/>
        </w:trPr>
        <w:tc>
          <w:tcPr>
            <w:tcW w:w="3686" w:type="dxa"/>
            <w:shd w:val="clear" w:color="auto" w:fill="auto"/>
            <w:vAlign w:val="center"/>
          </w:tcPr>
          <w:p w14:paraId="5FE08FAF" w14:textId="6FECD0DA"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Residence permits and naturalizations</w:t>
            </w:r>
          </w:p>
        </w:tc>
        <w:tc>
          <w:tcPr>
            <w:tcW w:w="1392" w:type="dxa"/>
            <w:shd w:val="clear" w:color="auto" w:fill="auto"/>
            <w:vAlign w:val="center"/>
          </w:tcPr>
          <w:p w14:paraId="44F51088" w14:textId="24B903EE"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0</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3</w:t>
            </w:r>
          </w:p>
        </w:tc>
        <w:tc>
          <w:tcPr>
            <w:tcW w:w="168" w:type="dxa"/>
            <w:shd w:val="clear" w:color="auto" w:fill="auto"/>
            <w:vAlign w:val="center"/>
          </w:tcPr>
          <w:p w14:paraId="0887FC30"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shd w:val="clear" w:color="auto" w:fill="auto"/>
            <w:vAlign w:val="center"/>
          </w:tcPr>
          <w:p w14:paraId="63E27B8D" w14:textId="235CDAE7"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Reception and integration</w:t>
            </w:r>
            <w:r w:rsidR="00CE4E51" w:rsidRPr="00742CD7">
              <w:rPr>
                <w:rFonts w:ascii="Tahoma" w:hAnsi="Tahoma" w:cs="Tahoma"/>
                <w:color w:val="000000"/>
                <w:sz w:val="20"/>
                <w:szCs w:val="20"/>
                <w:lang w:val="en-GB"/>
              </w:rPr>
              <w:t xml:space="preserve"> (</w:t>
            </w:r>
            <w:r w:rsidR="008E6574" w:rsidRPr="00742CD7">
              <w:rPr>
                <w:rFonts w:ascii="Tahoma" w:hAnsi="Tahoma" w:cs="Tahoma"/>
                <w:color w:val="000000"/>
                <w:sz w:val="20"/>
                <w:szCs w:val="20"/>
                <w:lang w:val="en-GB"/>
              </w:rPr>
              <w:t xml:space="preserve">share held by </w:t>
            </w:r>
            <w:r w:rsidR="00CE4E51" w:rsidRPr="00742CD7">
              <w:rPr>
                <w:rFonts w:ascii="Tahoma" w:hAnsi="Tahoma" w:cs="Tahoma"/>
                <w:color w:val="000000"/>
                <w:sz w:val="20"/>
                <w:szCs w:val="20"/>
                <w:lang w:val="en-GB"/>
              </w:rPr>
              <w:t>Min.</w:t>
            </w:r>
            <w:r w:rsidR="008E6574" w:rsidRPr="00742CD7">
              <w:rPr>
                <w:rFonts w:ascii="Tahoma" w:hAnsi="Tahoma" w:cs="Tahoma"/>
                <w:color w:val="000000"/>
                <w:sz w:val="20"/>
                <w:szCs w:val="20"/>
                <w:lang w:val="en-GB"/>
              </w:rPr>
              <w:t xml:space="preserve"> of</w:t>
            </w:r>
            <w:r w:rsidR="00CE4E51" w:rsidRPr="00742CD7">
              <w:rPr>
                <w:rFonts w:ascii="Tahoma" w:hAnsi="Tahoma" w:cs="Tahoma"/>
                <w:color w:val="000000"/>
                <w:sz w:val="20"/>
                <w:szCs w:val="20"/>
                <w:lang w:val="en-GB"/>
              </w:rPr>
              <w:t xml:space="preserve"> Inter</w:t>
            </w:r>
            <w:r w:rsidR="008E6574" w:rsidRPr="00742CD7">
              <w:rPr>
                <w:rFonts w:ascii="Tahoma" w:hAnsi="Tahoma" w:cs="Tahoma"/>
                <w:color w:val="000000"/>
                <w:sz w:val="20"/>
                <w:szCs w:val="20"/>
                <w:lang w:val="en-GB"/>
              </w:rPr>
              <w:t>iors</w:t>
            </w:r>
            <w:r w:rsidR="00CE4E51" w:rsidRPr="00742CD7">
              <w:rPr>
                <w:rFonts w:ascii="Tahoma" w:hAnsi="Tahoma" w:cs="Tahoma"/>
                <w:color w:val="000000"/>
                <w:sz w:val="20"/>
                <w:szCs w:val="20"/>
                <w:lang w:val="en-GB"/>
              </w:rPr>
              <w:t xml:space="preserve"> </w:t>
            </w:r>
            <w:r w:rsidR="008E6574" w:rsidRPr="00742CD7">
              <w:rPr>
                <w:rFonts w:ascii="Tahoma" w:hAnsi="Tahoma" w:cs="Tahoma"/>
                <w:color w:val="000000"/>
                <w:sz w:val="20"/>
                <w:szCs w:val="20"/>
                <w:lang w:val="en-GB"/>
              </w:rPr>
              <w:t>and</w:t>
            </w:r>
            <w:r w:rsidR="00CE4E51" w:rsidRPr="00742CD7">
              <w:rPr>
                <w:rFonts w:ascii="Tahoma" w:hAnsi="Tahoma" w:cs="Tahoma"/>
                <w:color w:val="000000"/>
                <w:sz w:val="20"/>
                <w:szCs w:val="20"/>
                <w:lang w:val="en-GB"/>
              </w:rPr>
              <w:t xml:space="preserve"> Min. </w:t>
            </w:r>
            <w:r w:rsidR="008E6574" w:rsidRPr="00742CD7">
              <w:rPr>
                <w:rFonts w:ascii="Tahoma" w:hAnsi="Tahoma" w:cs="Tahoma"/>
                <w:color w:val="000000"/>
                <w:sz w:val="20"/>
                <w:szCs w:val="20"/>
                <w:lang w:val="en-GB"/>
              </w:rPr>
              <w:t>of Labour and Social Policies</w:t>
            </w:r>
            <w:r w:rsidR="00CE4E51" w:rsidRPr="00742CD7">
              <w:rPr>
                <w:rFonts w:ascii="Tahoma" w:hAnsi="Tahoma" w:cs="Tahoma"/>
                <w:color w:val="000000"/>
                <w:sz w:val="20"/>
                <w:szCs w:val="20"/>
                <w:lang w:val="en-GB"/>
              </w:rPr>
              <w:t>)</w:t>
            </w:r>
          </w:p>
        </w:tc>
        <w:tc>
          <w:tcPr>
            <w:tcW w:w="1327" w:type="dxa"/>
            <w:shd w:val="clear" w:color="auto" w:fill="auto"/>
            <w:vAlign w:val="center"/>
          </w:tcPr>
          <w:p w14:paraId="02AAC052" w14:textId="446FD95A"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1</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7</w:t>
            </w:r>
          </w:p>
        </w:tc>
      </w:tr>
      <w:tr w:rsidR="00CE4E51" w:rsidRPr="00742CD7" w14:paraId="6320AC79" w14:textId="77777777" w:rsidTr="00C62F05">
        <w:trPr>
          <w:trHeight w:val="300"/>
        </w:trPr>
        <w:tc>
          <w:tcPr>
            <w:tcW w:w="3686" w:type="dxa"/>
            <w:shd w:val="clear" w:color="auto" w:fill="auto"/>
            <w:vAlign w:val="center"/>
          </w:tcPr>
          <w:p w14:paraId="0F02BCF8" w14:textId="77777777" w:rsidR="00CE4E51" w:rsidRPr="00742CD7" w:rsidRDefault="00CE4E51"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IRAP</w:t>
            </w:r>
          </w:p>
        </w:tc>
        <w:tc>
          <w:tcPr>
            <w:tcW w:w="1392" w:type="dxa"/>
            <w:shd w:val="clear" w:color="auto" w:fill="auto"/>
            <w:vAlign w:val="center"/>
          </w:tcPr>
          <w:p w14:paraId="77183136" w14:textId="66A4574C"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1</w:t>
            </w:r>
            <w:r w:rsidR="00D62714">
              <w:rPr>
                <w:rFonts w:ascii="Tahoma" w:hAnsi="Tahoma" w:cs="Tahoma"/>
                <w:color w:val="000000"/>
                <w:sz w:val="20"/>
                <w:szCs w:val="20"/>
                <w:lang w:val="en-GB"/>
              </w:rPr>
              <w:t>.0</w:t>
            </w:r>
          </w:p>
        </w:tc>
        <w:tc>
          <w:tcPr>
            <w:tcW w:w="168" w:type="dxa"/>
            <w:shd w:val="clear" w:color="auto" w:fill="auto"/>
            <w:vAlign w:val="center"/>
          </w:tcPr>
          <w:p w14:paraId="7624CA84"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shd w:val="clear" w:color="auto" w:fill="auto"/>
            <w:vAlign w:val="center"/>
          </w:tcPr>
          <w:p w14:paraId="7C7A2B5A" w14:textId="77777777" w:rsidR="00CE4E51" w:rsidRPr="00742CD7" w:rsidRDefault="00CE4E51" w:rsidP="00C62F05">
            <w:pPr>
              <w:pStyle w:val="Standard"/>
              <w:snapToGrid w:val="0"/>
              <w:ind w:left="57"/>
              <w:rPr>
                <w:rFonts w:ascii="Tahoma" w:hAnsi="Tahoma" w:cs="Tahoma"/>
                <w:color w:val="000000"/>
                <w:sz w:val="20"/>
                <w:szCs w:val="20"/>
                <w:lang w:val="en-GB"/>
              </w:rPr>
            </w:pPr>
          </w:p>
        </w:tc>
        <w:tc>
          <w:tcPr>
            <w:tcW w:w="1327" w:type="dxa"/>
            <w:shd w:val="clear" w:color="auto" w:fill="auto"/>
            <w:vAlign w:val="center"/>
          </w:tcPr>
          <w:p w14:paraId="75DE1035"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r>
      <w:tr w:rsidR="00CE4E51" w:rsidRPr="00742CD7" w14:paraId="654AB4BC" w14:textId="77777777" w:rsidTr="00C62F05">
        <w:trPr>
          <w:trHeight w:val="300"/>
        </w:trPr>
        <w:tc>
          <w:tcPr>
            <w:tcW w:w="3686" w:type="dxa"/>
            <w:tcBorders>
              <w:bottom w:val="single" w:sz="4" w:space="0" w:color="000000"/>
            </w:tcBorders>
            <w:shd w:val="clear" w:color="auto" w:fill="auto"/>
            <w:vAlign w:val="center"/>
          </w:tcPr>
          <w:p w14:paraId="77859B75" w14:textId="559AF1CD" w:rsidR="00CE4E51" w:rsidRPr="00742CD7" w:rsidRDefault="006C111D"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Net social contributions</w:t>
            </w:r>
            <w:r w:rsidR="00CE4E51" w:rsidRPr="00742CD7">
              <w:rPr>
                <w:rFonts w:ascii="Tahoma" w:hAnsi="Tahoma" w:cs="Tahoma"/>
                <w:color w:val="000000"/>
                <w:sz w:val="20"/>
                <w:szCs w:val="20"/>
                <w:lang w:val="en-GB"/>
              </w:rPr>
              <w:t xml:space="preserve"> (</w:t>
            </w:r>
            <w:r w:rsidRPr="00742CD7">
              <w:rPr>
                <w:rFonts w:ascii="Tahoma" w:hAnsi="Tahoma" w:cs="Tahoma"/>
                <w:color w:val="000000"/>
                <w:sz w:val="20"/>
                <w:szCs w:val="20"/>
                <w:lang w:val="en-GB"/>
              </w:rPr>
              <w:t>borne by employer families</w:t>
            </w:r>
            <w:r w:rsidR="00CE4E51" w:rsidRPr="00742CD7">
              <w:rPr>
                <w:rFonts w:ascii="Tahoma" w:hAnsi="Tahoma" w:cs="Tahoma"/>
                <w:color w:val="000000"/>
                <w:sz w:val="20"/>
                <w:szCs w:val="20"/>
                <w:lang w:val="en-GB"/>
              </w:rPr>
              <w:t>)</w:t>
            </w:r>
          </w:p>
        </w:tc>
        <w:tc>
          <w:tcPr>
            <w:tcW w:w="1392" w:type="dxa"/>
            <w:tcBorders>
              <w:bottom w:val="single" w:sz="4" w:space="0" w:color="000000"/>
            </w:tcBorders>
            <w:shd w:val="clear" w:color="auto" w:fill="auto"/>
            <w:vAlign w:val="center"/>
          </w:tcPr>
          <w:p w14:paraId="5BA9E139" w14:textId="5743BC3B"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24</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9</w:t>
            </w:r>
          </w:p>
        </w:tc>
        <w:tc>
          <w:tcPr>
            <w:tcW w:w="168" w:type="dxa"/>
            <w:tcBorders>
              <w:bottom w:val="single" w:sz="4" w:space="0" w:color="000000"/>
            </w:tcBorders>
            <w:shd w:val="clear" w:color="auto" w:fill="auto"/>
            <w:vAlign w:val="center"/>
          </w:tcPr>
          <w:p w14:paraId="1F321C27"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tcBorders>
              <w:bottom w:val="single" w:sz="4" w:space="0" w:color="000000"/>
            </w:tcBorders>
            <w:shd w:val="clear" w:color="auto" w:fill="auto"/>
            <w:vAlign w:val="center"/>
          </w:tcPr>
          <w:p w14:paraId="606ED2D7" w14:textId="57870A41" w:rsidR="00CE4E51" w:rsidRPr="00742CD7" w:rsidRDefault="008E6574"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Social Protection</w:t>
            </w:r>
            <w:r w:rsidR="00CE4E51" w:rsidRPr="00742CD7">
              <w:rPr>
                <w:rFonts w:ascii="Tahoma" w:hAnsi="Tahoma" w:cs="Tahoma"/>
                <w:color w:val="000000"/>
                <w:sz w:val="20"/>
                <w:szCs w:val="20"/>
                <w:lang w:val="en-GB"/>
              </w:rPr>
              <w:t xml:space="preserve"> (</w:t>
            </w:r>
            <w:r w:rsidRPr="00742CD7">
              <w:rPr>
                <w:rFonts w:ascii="Tahoma" w:hAnsi="Tahoma" w:cs="Tahoma"/>
                <w:color w:val="000000"/>
                <w:sz w:val="20"/>
                <w:szCs w:val="20"/>
                <w:lang w:val="en-GB"/>
              </w:rPr>
              <w:t>illness and disability, old age and survivors, families and children, unemployment</w:t>
            </w:r>
            <w:r w:rsidR="00CE4E51" w:rsidRPr="00742CD7">
              <w:rPr>
                <w:rFonts w:ascii="Tahoma" w:hAnsi="Tahoma" w:cs="Tahoma"/>
                <w:color w:val="000000"/>
                <w:sz w:val="20"/>
                <w:szCs w:val="20"/>
                <w:lang w:val="en-GB"/>
              </w:rPr>
              <w:t>)</w:t>
            </w:r>
          </w:p>
        </w:tc>
        <w:tc>
          <w:tcPr>
            <w:tcW w:w="1327" w:type="dxa"/>
            <w:tcBorders>
              <w:bottom w:val="single" w:sz="4" w:space="0" w:color="000000"/>
            </w:tcBorders>
            <w:shd w:val="clear" w:color="auto" w:fill="auto"/>
            <w:vAlign w:val="center"/>
          </w:tcPr>
          <w:p w14:paraId="169B77AC" w14:textId="0FEAB60F"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17</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8</w:t>
            </w:r>
          </w:p>
        </w:tc>
      </w:tr>
      <w:tr w:rsidR="00CE4E51" w:rsidRPr="00742CD7" w14:paraId="644EF449" w14:textId="77777777" w:rsidTr="00C62F05">
        <w:trPr>
          <w:trHeight w:val="300"/>
        </w:trPr>
        <w:tc>
          <w:tcPr>
            <w:tcW w:w="3686" w:type="dxa"/>
            <w:tcBorders>
              <w:top w:val="single" w:sz="4" w:space="0" w:color="000000"/>
              <w:bottom w:val="single" w:sz="4" w:space="0" w:color="000000"/>
            </w:tcBorders>
            <w:shd w:val="clear" w:color="auto" w:fill="auto"/>
            <w:vAlign w:val="center"/>
          </w:tcPr>
          <w:p w14:paraId="7E04736C" w14:textId="3AC67A48" w:rsidR="00CE4E51" w:rsidRPr="00742CD7" w:rsidRDefault="00CE4E51"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Total</w:t>
            </w:r>
          </w:p>
        </w:tc>
        <w:tc>
          <w:tcPr>
            <w:tcW w:w="1392" w:type="dxa"/>
            <w:tcBorders>
              <w:top w:val="single" w:sz="4" w:space="0" w:color="000000"/>
              <w:bottom w:val="single" w:sz="4" w:space="0" w:color="000000"/>
            </w:tcBorders>
            <w:shd w:val="clear" w:color="auto" w:fill="auto"/>
            <w:vAlign w:val="center"/>
          </w:tcPr>
          <w:p w14:paraId="0BCD025B" w14:textId="77A8D086"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38</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9</w:t>
            </w:r>
          </w:p>
        </w:tc>
        <w:tc>
          <w:tcPr>
            <w:tcW w:w="168" w:type="dxa"/>
            <w:tcBorders>
              <w:top w:val="single" w:sz="4" w:space="0" w:color="000000"/>
              <w:bottom w:val="single" w:sz="4" w:space="0" w:color="000000"/>
            </w:tcBorders>
            <w:shd w:val="clear" w:color="auto" w:fill="auto"/>
            <w:vAlign w:val="center"/>
          </w:tcPr>
          <w:p w14:paraId="52E003F2"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c>
          <w:tcPr>
            <w:tcW w:w="3220" w:type="dxa"/>
            <w:tcBorders>
              <w:top w:val="single" w:sz="4" w:space="0" w:color="000000"/>
              <w:bottom w:val="single" w:sz="4" w:space="0" w:color="000000"/>
            </w:tcBorders>
            <w:shd w:val="clear" w:color="auto" w:fill="auto"/>
            <w:vAlign w:val="center"/>
          </w:tcPr>
          <w:p w14:paraId="77043F2A" w14:textId="72A144D7" w:rsidR="00CE4E51" w:rsidRPr="00742CD7" w:rsidRDefault="00CE4E51" w:rsidP="00C62F05">
            <w:pPr>
              <w:pStyle w:val="Standard"/>
              <w:ind w:left="57"/>
              <w:rPr>
                <w:rFonts w:ascii="Tahoma" w:hAnsi="Tahoma" w:cs="Tahoma"/>
                <w:color w:val="000000"/>
                <w:sz w:val="20"/>
                <w:szCs w:val="20"/>
                <w:lang w:val="en-GB"/>
              </w:rPr>
            </w:pPr>
            <w:r w:rsidRPr="00742CD7">
              <w:rPr>
                <w:rFonts w:ascii="Tahoma" w:hAnsi="Tahoma" w:cs="Tahoma"/>
                <w:color w:val="000000"/>
                <w:sz w:val="20"/>
                <w:szCs w:val="20"/>
                <w:lang w:val="en-GB"/>
              </w:rPr>
              <w:t>Total</w:t>
            </w:r>
          </w:p>
        </w:tc>
        <w:tc>
          <w:tcPr>
            <w:tcW w:w="1327" w:type="dxa"/>
            <w:tcBorders>
              <w:top w:val="single" w:sz="4" w:space="0" w:color="000000"/>
              <w:bottom w:val="single" w:sz="4" w:space="0" w:color="000000"/>
            </w:tcBorders>
            <w:shd w:val="clear" w:color="auto" w:fill="auto"/>
            <w:vAlign w:val="center"/>
          </w:tcPr>
          <w:p w14:paraId="78F82FCE" w14:textId="3C925ED8" w:rsidR="00CE4E51" w:rsidRPr="00742CD7" w:rsidRDefault="00CE4E51" w:rsidP="00C62F05">
            <w:pPr>
              <w:pStyle w:val="Standard"/>
              <w:ind w:left="57"/>
              <w:jc w:val="center"/>
              <w:rPr>
                <w:rFonts w:ascii="Tahoma" w:hAnsi="Tahoma" w:cs="Tahoma"/>
                <w:color w:val="000000"/>
                <w:sz w:val="20"/>
                <w:szCs w:val="20"/>
                <w:lang w:val="en-GB"/>
              </w:rPr>
            </w:pPr>
            <w:r w:rsidRPr="00742CD7">
              <w:rPr>
                <w:rFonts w:ascii="Tahoma" w:hAnsi="Tahoma" w:cs="Tahoma"/>
                <w:color w:val="000000"/>
                <w:sz w:val="20"/>
                <w:szCs w:val="20"/>
                <w:lang w:val="en-GB"/>
              </w:rPr>
              <w:t>37</w:t>
            </w:r>
            <w:r w:rsidR="005B040A" w:rsidRPr="00742CD7">
              <w:rPr>
                <w:rFonts w:ascii="Tahoma" w:hAnsi="Tahoma" w:cs="Tahoma"/>
                <w:color w:val="000000"/>
                <w:sz w:val="20"/>
                <w:szCs w:val="20"/>
                <w:lang w:val="en-GB"/>
              </w:rPr>
              <w:t>.</w:t>
            </w:r>
            <w:r w:rsidRPr="00742CD7">
              <w:rPr>
                <w:rFonts w:ascii="Tahoma" w:hAnsi="Tahoma" w:cs="Tahoma"/>
                <w:color w:val="000000"/>
                <w:sz w:val="20"/>
                <w:szCs w:val="20"/>
                <w:lang w:val="en-GB"/>
              </w:rPr>
              <w:t>7</w:t>
            </w:r>
          </w:p>
        </w:tc>
      </w:tr>
      <w:tr w:rsidR="00CE4E51" w:rsidRPr="00742CD7" w14:paraId="083792C4" w14:textId="77777777" w:rsidTr="00C62F05">
        <w:trPr>
          <w:trHeight w:val="300"/>
        </w:trPr>
        <w:tc>
          <w:tcPr>
            <w:tcW w:w="3686" w:type="dxa"/>
            <w:tcBorders>
              <w:top w:val="single" w:sz="4" w:space="0" w:color="000000"/>
              <w:bottom w:val="single" w:sz="4" w:space="0" w:color="000000"/>
            </w:tcBorders>
            <w:shd w:val="clear" w:color="auto" w:fill="auto"/>
            <w:vAlign w:val="center"/>
          </w:tcPr>
          <w:p w14:paraId="43FE7780" w14:textId="2CDE63F0" w:rsidR="00CE4E51" w:rsidRPr="00742CD7" w:rsidRDefault="006C111D" w:rsidP="00C62F05">
            <w:pPr>
              <w:pStyle w:val="Standard"/>
              <w:ind w:left="57"/>
              <w:rPr>
                <w:rFonts w:ascii="Tahoma" w:hAnsi="Tahoma" w:cs="Tahoma"/>
                <w:b/>
                <w:bCs/>
                <w:color w:val="000000"/>
                <w:sz w:val="20"/>
                <w:szCs w:val="20"/>
                <w:lang w:val="en-GB"/>
              </w:rPr>
            </w:pPr>
            <w:r w:rsidRPr="00742CD7">
              <w:rPr>
                <w:rFonts w:ascii="Tahoma" w:hAnsi="Tahoma" w:cs="Tahoma"/>
                <w:b/>
                <w:bCs/>
                <w:color w:val="000000"/>
                <w:sz w:val="20"/>
                <w:szCs w:val="20"/>
                <w:lang w:val="en-GB"/>
              </w:rPr>
              <w:t>Balance</w:t>
            </w:r>
          </w:p>
        </w:tc>
        <w:tc>
          <w:tcPr>
            <w:tcW w:w="1392" w:type="dxa"/>
            <w:tcBorders>
              <w:top w:val="single" w:sz="4" w:space="0" w:color="000000"/>
              <w:bottom w:val="single" w:sz="4" w:space="0" w:color="000000"/>
            </w:tcBorders>
            <w:shd w:val="clear" w:color="auto" w:fill="auto"/>
            <w:vAlign w:val="center"/>
          </w:tcPr>
          <w:p w14:paraId="143B4152" w14:textId="24F2BC17" w:rsidR="00CE4E51" w:rsidRPr="00742CD7" w:rsidRDefault="00CE4E51" w:rsidP="00C62F05">
            <w:pPr>
              <w:pStyle w:val="Standard"/>
              <w:ind w:left="57"/>
              <w:jc w:val="center"/>
              <w:rPr>
                <w:rFonts w:ascii="Tahoma" w:hAnsi="Tahoma" w:cs="Tahoma"/>
                <w:b/>
                <w:bCs/>
                <w:color w:val="000000"/>
                <w:sz w:val="20"/>
                <w:szCs w:val="20"/>
                <w:lang w:val="en-GB"/>
              </w:rPr>
            </w:pPr>
            <w:r w:rsidRPr="00742CD7">
              <w:rPr>
                <w:rFonts w:ascii="Tahoma" w:hAnsi="Tahoma" w:cs="Tahoma"/>
                <w:b/>
                <w:bCs/>
                <w:color w:val="000000"/>
                <w:sz w:val="20"/>
                <w:szCs w:val="20"/>
                <w:lang w:val="en-GB"/>
              </w:rPr>
              <w:t>+1</w:t>
            </w:r>
            <w:r w:rsidR="005B040A" w:rsidRPr="00742CD7">
              <w:rPr>
                <w:rFonts w:ascii="Tahoma" w:hAnsi="Tahoma" w:cs="Tahoma"/>
                <w:b/>
                <w:bCs/>
                <w:color w:val="000000"/>
                <w:sz w:val="20"/>
                <w:szCs w:val="20"/>
                <w:lang w:val="en-GB"/>
              </w:rPr>
              <w:t>.</w:t>
            </w:r>
            <w:r w:rsidRPr="00742CD7">
              <w:rPr>
                <w:rFonts w:ascii="Tahoma" w:hAnsi="Tahoma" w:cs="Tahoma"/>
                <w:b/>
                <w:bCs/>
                <w:color w:val="000000"/>
                <w:sz w:val="20"/>
                <w:szCs w:val="20"/>
                <w:lang w:val="en-GB"/>
              </w:rPr>
              <w:t>2</w:t>
            </w:r>
          </w:p>
        </w:tc>
        <w:tc>
          <w:tcPr>
            <w:tcW w:w="168" w:type="dxa"/>
            <w:tcBorders>
              <w:top w:val="single" w:sz="4" w:space="0" w:color="000000"/>
              <w:bottom w:val="single" w:sz="4" w:space="0" w:color="000000"/>
            </w:tcBorders>
            <w:shd w:val="clear" w:color="auto" w:fill="auto"/>
            <w:vAlign w:val="center"/>
          </w:tcPr>
          <w:p w14:paraId="404595C5" w14:textId="77777777" w:rsidR="00CE4E51" w:rsidRPr="00742CD7" w:rsidRDefault="00CE4E51" w:rsidP="00C62F05">
            <w:pPr>
              <w:pStyle w:val="Standard"/>
              <w:snapToGrid w:val="0"/>
              <w:ind w:left="57"/>
              <w:jc w:val="center"/>
              <w:rPr>
                <w:rFonts w:ascii="Tahoma" w:hAnsi="Tahoma" w:cs="Tahoma"/>
                <w:b/>
                <w:bCs/>
                <w:color w:val="000000"/>
                <w:sz w:val="20"/>
                <w:szCs w:val="20"/>
                <w:lang w:val="en-GB"/>
              </w:rPr>
            </w:pPr>
          </w:p>
        </w:tc>
        <w:tc>
          <w:tcPr>
            <w:tcW w:w="3220" w:type="dxa"/>
            <w:tcBorders>
              <w:top w:val="single" w:sz="4" w:space="0" w:color="000000"/>
              <w:bottom w:val="single" w:sz="4" w:space="0" w:color="000000"/>
            </w:tcBorders>
            <w:shd w:val="clear" w:color="auto" w:fill="auto"/>
            <w:vAlign w:val="center"/>
          </w:tcPr>
          <w:p w14:paraId="488F7C22" w14:textId="77777777" w:rsidR="00CE4E51" w:rsidRPr="00742CD7" w:rsidRDefault="00CE4E51" w:rsidP="00C62F05">
            <w:pPr>
              <w:pStyle w:val="Standard"/>
              <w:snapToGrid w:val="0"/>
              <w:ind w:left="57"/>
              <w:rPr>
                <w:rFonts w:ascii="Tahoma" w:hAnsi="Tahoma" w:cs="Tahoma"/>
                <w:b/>
                <w:bCs/>
                <w:color w:val="000000"/>
                <w:sz w:val="20"/>
                <w:szCs w:val="20"/>
                <w:lang w:val="en-GB"/>
              </w:rPr>
            </w:pPr>
          </w:p>
        </w:tc>
        <w:tc>
          <w:tcPr>
            <w:tcW w:w="1327" w:type="dxa"/>
            <w:tcBorders>
              <w:top w:val="single" w:sz="4" w:space="0" w:color="000000"/>
              <w:bottom w:val="single" w:sz="4" w:space="0" w:color="000000"/>
            </w:tcBorders>
            <w:shd w:val="clear" w:color="auto" w:fill="auto"/>
            <w:vAlign w:val="center"/>
          </w:tcPr>
          <w:p w14:paraId="439A0ED3" w14:textId="77777777" w:rsidR="00CE4E51" w:rsidRPr="00742CD7" w:rsidRDefault="00CE4E51" w:rsidP="00C62F05">
            <w:pPr>
              <w:pStyle w:val="Standard"/>
              <w:snapToGrid w:val="0"/>
              <w:ind w:left="57"/>
              <w:jc w:val="center"/>
              <w:rPr>
                <w:rFonts w:ascii="Tahoma" w:hAnsi="Tahoma" w:cs="Tahoma"/>
                <w:color w:val="000000"/>
                <w:sz w:val="20"/>
                <w:szCs w:val="20"/>
                <w:lang w:val="en-GB"/>
              </w:rPr>
            </w:pPr>
          </w:p>
        </w:tc>
      </w:tr>
    </w:tbl>
    <w:p w14:paraId="57062213" w14:textId="0A8639F0" w:rsidR="00CE4E51" w:rsidRPr="00742CD7" w:rsidRDefault="008E6574" w:rsidP="00BB7768">
      <w:pPr>
        <w:spacing w:after="0" w:line="240" w:lineRule="auto"/>
        <w:ind w:left="57"/>
        <w:jc w:val="both"/>
        <w:rPr>
          <w:rFonts w:ascii="Tahoma" w:hAnsi="Tahoma" w:cs="Tahoma"/>
          <w:b/>
          <w:bCs/>
          <w:i/>
          <w:iCs/>
          <w:sz w:val="20"/>
          <w:szCs w:val="20"/>
          <w:lang w:val="en-GB"/>
        </w:rPr>
      </w:pPr>
      <w:r w:rsidRPr="00D62714">
        <w:rPr>
          <w:rFonts w:ascii="Tahoma" w:hAnsi="Tahoma" w:cs="Tahoma"/>
          <w:sz w:val="20"/>
          <w:szCs w:val="20"/>
          <w:lang w:val="en-GB"/>
        </w:rPr>
        <w:t>Source</w:t>
      </w:r>
      <w:r w:rsidR="00CE4E51" w:rsidRPr="00D62714">
        <w:rPr>
          <w:rFonts w:ascii="Tahoma" w:hAnsi="Tahoma" w:cs="Tahoma"/>
          <w:sz w:val="20"/>
          <w:szCs w:val="20"/>
          <w:lang w:val="en-GB"/>
        </w:rPr>
        <w:t xml:space="preserve">: </w:t>
      </w:r>
      <w:r w:rsidR="00CE4E51" w:rsidRPr="00D62714">
        <w:rPr>
          <w:rFonts w:ascii="Tahoma" w:hAnsi="Tahoma" w:cs="Tahoma"/>
          <w:i/>
          <w:iCs/>
          <w:sz w:val="20"/>
          <w:szCs w:val="20"/>
          <w:lang w:val="en-GB"/>
        </w:rPr>
        <w:t xml:space="preserve">Leone Moressa </w:t>
      </w:r>
      <w:r w:rsidRPr="00D62714">
        <w:rPr>
          <w:rFonts w:ascii="Tahoma" w:hAnsi="Tahoma" w:cs="Tahoma"/>
          <w:i/>
          <w:iCs/>
          <w:sz w:val="20"/>
          <w:szCs w:val="20"/>
          <w:lang w:val="en-GB"/>
        </w:rPr>
        <w:t>Foundation elaboration on</w:t>
      </w:r>
      <w:r w:rsidR="00CE4E51" w:rsidRPr="00D62714">
        <w:rPr>
          <w:rFonts w:ascii="Tahoma" w:hAnsi="Tahoma" w:cs="Tahoma"/>
          <w:i/>
          <w:iCs/>
          <w:sz w:val="20"/>
          <w:szCs w:val="20"/>
          <w:lang w:val="en-GB"/>
        </w:rPr>
        <w:t xml:space="preserve"> MEF</w:t>
      </w:r>
      <w:r w:rsidRPr="00D62714">
        <w:rPr>
          <w:rFonts w:ascii="Tahoma" w:hAnsi="Tahoma" w:cs="Tahoma"/>
          <w:i/>
          <w:iCs/>
          <w:sz w:val="20"/>
          <w:szCs w:val="20"/>
          <w:lang w:val="en-GB"/>
        </w:rPr>
        <w:t xml:space="preserve"> data</w:t>
      </w:r>
      <w:r w:rsidR="00CE4E51" w:rsidRPr="00D62714">
        <w:rPr>
          <w:rFonts w:ascii="Tahoma" w:hAnsi="Tahoma" w:cs="Tahoma"/>
          <w:i/>
          <w:iCs/>
          <w:sz w:val="20"/>
          <w:szCs w:val="20"/>
          <w:lang w:val="en-GB"/>
        </w:rPr>
        <w:t xml:space="preserve"> – D</w:t>
      </w:r>
      <w:r w:rsidRPr="00D62714">
        <w:rPr>
          <w:rFonts w:ascii="Tahoma" w:hAnsi="Tahoma" w:cs="Tahoma"/>
          <w:i/>
          <w:iCs/>
          <w:sz w:val="20"/>
          <w:szCs w:val="20"/>
          <w:lang w:val="en-GB"/>
        </w:rPr>
        <w:t>epartment of Finances, ISTAT, and</w:t>
      </w:r>
      <w:r w:rsidR="00D62714" w:rsidRPr="00D62714">
        <w:rPr>
          <w:rFonts w:ascii="Tahoma" w:hAnsi="Tahoma" w:cs="Tahoma"/>
          <w:i/>
          <w:iCs/>
          <w:sz w:val="20"/>
          <w:szCs w:val="20"/>
          <w:lang w:val="en-GB"/>
        </w:rPr>
        <w:t xml:space="preserve"> others</w:t>
      </w:r>
    </w:p>
    <w:p w14:paraId="21560793" w14:textId="77777777" w:rsidR="00A126BF" w:rsidRPr="00742CD7" w:rsidRDefault="00A126BF" w:rsidP="00543203">
      <w:pPr>
        <w:spacing w:after="0" w:line="360" w:lineRule="auto"/>
        <w:jc w:val="both"/>
        <w:rPr>
          <w:rFonts w:ascii="Tahoma" w:hAnsi="Tahoma" w:cs="Tahoma"/>
          <w:sz w:val="20"/>
          <w:szCs w:val="20"/>
          <w:lang w:val="en-GB"/>
        </w:rPr>
      </w:pPr>
    </w:p>
    <w:p w14:paraId="7C6D4F9E" w14:textId="77777777" w:rsidR="00E559B2" w:rsidRPr="00742CD7" w:rsidRDefault="00E559B2" w:rsidP="00A126BF">
      <w:pPr>
        <w:spacing w:after="0" w:line="360" w:lineRule="auto"/>
        <w:jc w:val="both"/>
        <w:rPr>
          <w:rFonts w:ascii="Tahoma" w:hAnsi="Tahoma" w:cs="Tahoma"/>
          <w:sz w:val="20"/>
          <w:szCs w:val="20"/>
          <w:lang w:val="en-GB"/>
        </w:rPr>
      </w:pPr>
    </w:p>
    <w:p w14:paraId="0894499A" w14:textId="719682B9" w:rsidR="00E559B2" w:rsidRPr="00742CD7" w:rsidRDefault="00E559B2" w:rsidP="00E559B2">
      <w:pPr>
        <w:spacing w:after="0" w:line="360" w:lineRule="auto"/>
        <w:rPr>
          <w:rFonts w:ascii="Tahoma" w:hAnsi="Tahoma" w:cs="Tahoma"/>
          <w:b/>
          <w:color w:val="auto"/>
          <w:sz w:val="20"/>
          <w:szCs w:val="20"/>
          <w:lang w:val="en-GB"/>
        </w:rPr>
      </w:pPr>
      <w:r w:rsidRPr="00742CD7">
        <w:rPr>
          <w:rFonts w:ascii="Tahoma" w:hAnsi="Tahoma" w:cs="Tahoma"/>
          <w:b/>
          <w:color w:val="auto"/>
          <w:sz w:val="20"/>
          <w:szCs w:val="20"/>
          <w:lang w:val="en-GB"/>
        </w:rPr>
        <w:t xml:space="preserve">5. </w:t>
      </w:r>
      <w:r w:rsidR="008E6574" w:rsidRPr="00742CD7">
        <w:rPr>
          <w:rFonts w:ascii="Tahoma" w:hAnsi="Tahoma" w:cs="Tahoma"/>
          <w:b/>
          <w:color w:val="auto"/>
          <w:sz w:val="20"/>
          <w:szCs w:val="20"/>
          <w:lang w:val="en-GB"/>
        </w:rPr>
        <w:t>Immigrant entrepreneurship in Italy</w:t>
      </w:r>
    </w:p>
    <w:p w14:paraId="3BD84D52" w14:textId="77777777" w:rsidR="00E559B2" w:rsidRPr="00742CD7" w:rsidRDefault="00E559B2" w:rsidP="00E559B2">
      <w:pPr>
        <w:spacing w:after="0" w:line="360" w:lineRule="auto"/>
        <w:rPr>
          <w:rFonts w:ascii="Tahoma" w:hAnsi="Tahoma" w:cs="Tahoma"/>
          <w:i/>
          <w:color w:val="auto"/>
          <w:sz w:val="20"/>
          <w:szCs w:val="20"/>
          <w:lang w:val="en-GB"/>
        </w:rPr>
      </w:pPr>
    </w:p>
    <w:p w14:paraId="594E7C62" w14:textId="6E0D8020" w:rsidR="008E6574" w:rsidRPr="008E6574" w:rsidRDefault="008E6574" w:rsidP="008E6574">
      <w:pPr>
        <w:spacing w:after="0" w:line="360" w:lineRule="auto"/>
        <w:jc w:val="both"/>
        <w:rPr>
          <w:rFonts w:ascii="Tahoma" w:hAnsi="Tahoma" w:cs="Tahoma"/>
          <w:sz w:val="20"/>
          <w:szCs w:val="20"/>
          <w:lang w:val="en-GB"/>
        </w:rPr>
      </w:pPr>
      <w:r w:rsidRPr="00742CD7">
        <w:rPr>
          <w:rFonts w:ascii="Tahoma" w:hAnsi="Tahoma" w:cs="Tahoma"/>
          <w:sz w:val="20"/>
          <w:szCs w:val="20"/>
          <w:lang w:val="en-GB"/>
        </w:rPr>
        <w:t>Lastly</w:t>
      </w:r>
      <w:r w:rsidRPr="008E6574">
        <w:rPr>
          <w:rFonts w:ascii="Tahoma" w:hAnsi="Tahoma" w:cs="Tahoma"/>
          <w:sz w:val="20"/>
          <w:szCs w:val="20"/>
          <w:lang w:val="en-GB"/>
        </w:rPr>
        <w:t xml:space="preserve">, a particularly significant phenomenon in the </w:t>
      </w:r>
      <w:r w:rsidRPr="00742CD7">
        <w:rPr>
          <w:rFonts w:ascii="Tahoma" w:hAnsi="Tahoma" w:cs="Tahoma"/>
          <w:sz w:val="20"/>
          <w:szCs w:val="20"/>
          <w:lang w:val="en-GB"/>
        </w:rPr>
        <w:t xml:space="preserve">economics of </w:t>
      </w:r>
      <w:r w:rsidRPr="008E6574">
        <w:rPr>
          <w:rFonts w:ascii="Tahoma" w:hAnsi="Tahoma" w:cs="Tahoma"/>
          <w:sz w:val="20"/>
          <w:szCs w:val="20"/>
          <w:lang w:val="en-GB"/>
        </w:rPr>
        <w:t xml:space="preserve">immigration in Italy is that of immigrant entrepreneurship. As of December 31, 2023, there </w:t>
      </w:r>
      <w:r w:rsidRPr="00742CD7">
        <w:rPr>
          <w:rFonts w:ascii="Tahoma" w:hAnsi="Tahoma" w:cs="Tahoma"/>
          <w:sz w:val="20"/>
          <w:szCs w:val="20"/>
          <w:lang w:val="en-GB"/>
        </w:rPr>
        <w:t>were</w:t>
      </w:r>
      <w:r w:rsidRPr="008E6574">
        <w:rPr>
          <w:rFonts w:ascii="Tahoma" w:hAnsi="Tahoma" w:cs="Tahoma"/>
          <w:sz w:val="20"/>
          <w:szCs w:val="20"/>
          <w:lang w:val="en-GB"/>
        </w:rPr>
        <w:t xml:space="preserve"> 775,559 foreign-born entrepreneurs in Italy (10.4% of the total) and 586,584 predominantly foreign-run businesses (11.5%).</w:t>
      </w:r>
    </w:p>
    <w:p w14:paraId="330696F1" w14:textId="77777777" w:rsidR="008E6574" w:rsidRPr="008E6574" w:rsidRDefault="008E6574" w:rsidP="008E6574">
      <w:pPr>
        <w:spacing w:after="0" w:line="360" w:lineRule="auto"/>
        <w:jc w:val="both"/>
        <w:rPr>
          <w:rFonts w:ascii="Tahoma" w:hAnsi="Tahoma" w:cs="Tahoma"/>
          <w:sz w:val="20"/>
          <w:szCs w:val="20"/>
          <w:lang w:val="en-GB"/>
        </w:rPr>
      </w:pPr>
      <w:r w:rsidRPr="008E6574">
        <w:rPr>
          <w:rFonts w:ascii="Tahoma" w:hAnsi="Tahoma" w:cs="Tahoma"/>
          <w:sz w:val="20"/>
          <w:szCs w:val="20"/>
          <w:lang w:val="en-GB"/>
        </w:rPr>
        <w:t>Looking at the last ten years (2013-2023), a different trend between Italian-born (-6.4%) and foreign-born entrepreneurs (+27.3%) is evident. Even in the last year, the number of immigrants has increased (+1.9%), while that of Italian-born individuals has seen a slight decrease (-0.6%).</w:t>
      </w:r>
    </w:p>
    <w:p w14:paraId="31B2DC38" w14:textId="77777777" w:rsidR="009227B9" w:rsidRPr="00742CD7" w:rsidRDefault="009227B9" w:rsidP="009227B9">
      <w:pPr>
        <w:spacing w:after="0" w:line="360" w:lineRule="auto"/>
        <w:jc w:val="both"/>
        <w:rPr>
          <w:rFonts w:ascii="Tahoma" w:hAnsi="Tahoma" w:cs="Tahoma"/>
          <w:sz w:val="20"/>
          <w:szCs w:val="20"/>
          <w:lang w:val="en-GB"/>
        </w:rPr>
      </w:pPr>
    </w:p>
    <w:p w14:paraId="35B71F2B" w14:textId="6B61FE88" w:rsidR="009227B9" w:rsidRPr="00742CD7" w:rsidRDefault="008E6574" w:rsidP="009227B9">
      <w:pPr>
        <w:pStyle w:val="Standard"/>
        <w:jc w:val="both"/>
        <w:rPr>
          <w:rFonts w:ascii="Tahoma" w:hAnsi="Tahoma" w:cs="Tahoma"/>
          <w:sz w:val="20"/>
          <w:szCs w:val="20"/>
          <w:lang w:val="en-GB"/>
        </w:rPr>
      </w:pPr>
      <w:r w:rsidRPr="00742CD7">
        <w:rPr>
          <w:rFonts w:ascii="Tahoma" w:hAnsi="Tahoma" w:cs="Tahoma"/>
          <w:b/>
          <w:sz w:val="20"/>
          <w:szCs w:val="20"/>
          <w:lang w:val="en-GB"/>
        </w:rPr>
        <w:t>Immigrant entrepreneurs in Italy</w:t>
      </w:r>
      <w:r w:rsidR="009227B9" w:rsidRPr="00742CD7">
        <w:rPr>
          <w:rFonts w:ascii="Tahoma" w:hAnsi="Tahoma" w:cs="Tahoma"/>
          <w:b/>
          <w:sz w:val="20"/>
          <w:szCs w:val="20"/>
          <w:lang w:val="en-GB"/>
        </w:rPr>
        <w:t>, 2023</w:t>
      </w:r>
    </w:p>
    <w:tbl>
      <w:tblPr>
        <w:tblW w:w="9442"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267"/>
        <w:gridCol w:w="1985"/>
        <w:gridCol w:w="1943"/>
        <w:gridCol w:w="1623"/>
        <w:gridCol w:w="1624"/>
      </w:tblGrid>
      <w:tr w:rsidR="009227B9" w:rsidRPr="00742CD7" w14:paraId="5280831A" w14:textId="77777777" w:rsidTr="00C62F05">
        <w:trPr>
          <w:trHeight w:val="654"/>
          <w:jc w:val="center"/>
        </w:trPr>
        <w:tc>
          <w:tcPr>
            <w:tcW w:w="2267" w:type="dxa"/>
            <w:tcBorders>
              <w:top w:val="single" w:sz="4" w:space="0" w:color="000000"/>
              <w:bottom w:val="single" w:sz="4" w:space="0" w:color="000000"/>
            </w:tcBorders>
            <w:shd w:val="clear" w:color="auto" w:fill="auto"/>
            <w:vAlign w:val="center"/>
          </w:tcPr>
          <w:p w14:paraId="4D3391C2" w14:textId="266E9D82" w:rsidR="009227B9" w:rsidRPr="00742CD7" w:rsidRDefault="008E6574" w:rsidP="00C62F05">
            <w:pPr>
              <w:pStyle w:val="Standard"/>
              <w:rPr>
                <w:rFonts w:ascii="Tahoma" w:hAnsi="Tahoma" w:cs="Tahoma"/>
                <w:b/>
                <w:sz w:val="20"/>
                <w:szCs w:val="20"/>
                <w:lang w:val="en-GB"/>
              </w:rPr>
            </w:pPr>
            <w:r w:rsidRPr="00742CD7">
              <w:rPr>
                <w:rFonts w:ascii="Tahoma" w:hAnsi="Tahoma" w:cs="Tahoma"/>
                <w:b/>
                <w:sz w:val="20"/>
                <w:szCs w:val="20"/>
                <w:lang w:val="en-GB"/>
              </w:rPr>
              <w:t>Country of birth</w:t>
            </w:r>
          </w:p>
        </w:tc>
        <w:tc>
          <w:tcPr>
            <w:tcW w:w="1985" w:type="dxa"/>
            <w:tcBorders>
              <w:top w:val="single" w:sz="4" w:space="0" w:color="000000"/>
              <w:bottom w:val="single" w:sz="4" w:space="0" w:color="000000"/>
            </w:tcBorders>
            <w:shd w:val="clear" w:color="auto" w:fill="auto"/>
            <w:vAlign w:val="center"/>
          </w:tcPr>
          <w:p w14:paraId="4E6B90D9" w14:textId="68C4E89C" w:rsidR="009227B9" w:rsidRPr="00742CD7" w:rsidRDefault="008E6574" w:rsidP="00C62F05">
            <w:pPr>
              <w:pStyle w:val="Standard"/>
              <w:jc w:val="center"/>
              <w:rPr>
                <w:rFonts w:ascii="Tahoma" w:hAnsi="Tahoma" w:cs="Tahoma"/>
                <w:b/>
                <w:sz w:val="20"/>
                <w:szCs w:val="20"/>
                <w:lang w:val="en-GB"/>
              </w:rPr>
            </w:pPr>
            <w:r w:rsidRPr="00742CD7">
              <w:rPr>
                <w:rFonts w:ascii="Tahoma" w:hAnsi="Tahoma" w:cs="Tahoma"/>
                <w:b/>
                <w:sz w:val="20"/>
                <w:szCs w:val="20"/>
                <w:lang w:val="en-GB"/>
              </w:rPr>
              <w:t>Entrepreneurs</w:t>
            </w:r>
          </w:p>
          <w:p w14:paraId="0FA0B8B7" w14:textId="77777777" w:rsidR="009227B9" w:rsidRPr="00742CD7" w:rsidRDefault="009227B9" w:rsidP="00C62F05">
            <w:pPr>
              <w:pStyle w:val="Standard"/>
              <w:jc w:val="center"/>
              <w:rPr>
                <w:rFonts w:ascii="Tahoma" w:hAnsi="Tahoma" w:cs="Tahoma"/>
                <w:b/>
                <w:sz w:val="20"/>
                <w:szCs w:val="20"/>
                <w:lang w:val="en-GB"/>
              </w:rPr>
            </w:pPr>
            <w:r w:rsidRPr="00742CD7">
              <w:rPr>
                <w:rFonts w:ascii="Tahoma" w:hAnsi="Tahoma" w:cs="Tahoma"/>
                <w:b/>
                <w:sz w:val="20"/>
                <w:szCs w:val="20"/>
                <w:lang w:val="en-GB"/>
              </w:rPr>
              <w:t>2023</w:t>
            </w:r>
          </w:p>
        </w:tc>
        <w:tc>
          <w:tcPr>
            <w:tcW w:w="1943" w:type="dxa"/>
            <w:tcBorders>
              <w:top w:val="single" w:sz="4" w:space="0" w:color="000000"/>
              <w:bottom w:val="single" w:sz="4" w:space="0" w:color="000000"/>
            </w:tcBorders>
            <w:shd w:val="clear" w:color="auto" w:fill="auto"/>
            <w:vAlign w:val="center"/>
          </w:tcPr>
          <w:p w14:paraId="23DAFCD4" w14:textId="34751700" w:rsidR="009227B9" w:rsidRPr="00742CD7" w:rsidRDefault="009227B9" w:rsidP="00C62F05">
            <w:pPr>
              <w:pStyle w:val="Standard"/>
              <w:jc w:val="center"/>
              <w:rPr>
                <w:rFonts w:ascii="Tahoma" w:hAnsi="Tahoma" w:cs="Tahoma"/>
                <w:b/>
                <w:sz w:val="20"/>
                <w:szCs w:val="20"/>
                <w:lang w:val="en-GB"/>
              </w:rPr>
            </w:pPr>
            <w:r w:rsidRPr="00742CD7">
              <w:rPr>
                <w:rFonts w:ascii="Tahoma" w:hAnsi="Tahoma" w:cs="Tahoma"/>
                <w:b/>
                <w:sz w:val="20"/>
                <w:szCs w:val="20"/>
                <w:lang w:val="en-GB"/>
              </w:rPr>
              <w:t>Distribu</w:t>
            </w:r>
            <w:r w:rsidR="008E6574" w:rsidRPr="00742CD7">
              <w:rPr>
                <w:rFonts w:ascii="Tahoma" w:hAnsi="Tahoma" w:cs="Tahoma"/>
                <w:b/>
                <w:sz w:val="20"/>
                <w:szCs w:val="20"/>
                <w:lang w:val="en-GB"/>
              </w:rPr>
              <w:t>tion</w:t>
            </w:r>
          </w:p>
          <w:p w14:paraId="23221B46" w14:textId="77777777" w:rsidR="009227B9" w:rsidRPr="00742CD7" w:rsidRDefault="009227B9" w:rsidP="00C62F05">
            <w:pPr>
              <w:pStyle w:val="Standard"/>
              <w:jc w:val="center"/>
              <w:rPr>
                <w:rFonts w:ascii="Tahoma" w:hAnsi="Tahoma" w:cs="Tahoma"/>
                <w:b/>
                <w:sz w:val="20"/>
                <w:szCs w:val="20"/>
                <w:lang w:val="en-GB"/>
              </w:rPr>
            </w:pPr>
            <w:r w:rsidRPr="00742CD7">
              <w:rPr>
                <w:rFonts w:ascii="Tahoma" w:hAnsi="Tahoma" w:cs="Tahoma"/>
                <w:b/>
                <w:sz w:val="20"/>
                <w:szCs w:val="20"/>
                <w:lang w:val="en-GB"/>
              </w:rPr>
              <w:t>%</w:t>
            </w:r>
          </w:p>
        </w:tc>
        <w:tc>
          <w:tcPr>
            <w:tcW w:w="1623" w:type="dxa"/>
            <w:tcBorders>
              <w:top w:val="single" w:sz="4" w:space="0" w:color="000000"/>
              <w:bottom w:val="single" w:sz="4" w:space="0" w:color="000000"/>
            </w:tcBorders>
            <w:shd w:val="clear" w:color="auto" w:fill="auto"/>
            <w:vAlign w:val="center"/>
          </w:tcPr>
          <w:p w14:paraId="6E7D0021" w14:textId="233C1DF9" w:rsidR="009227B9" w:rsidRPr="00742CD7" w:rsidRDefault="009227B9" w:rsidP="00C62F05">
            <w:pPr>
              <w:pStyle w:val="Standard"/>
              <w:jc w:val="center"/>
              <w:rPr>
                <w:rFonts w:ascii="Tahoma" w:hAnsi="Tahoma" w:cs="Tahoma"/>
                <w:b/>
                <w:sz w:val="20"/>
                <w:szCs w:val="20"/>
                <w:lang w:val="en-GB"/>
              </w:rPr>
            </w:pPr>
            <w:r w:rsidRPr="00742CD7">
              <w:rPr>
                <w:rFonts w:ascii="Tahoma" w:hAnsi="Tahoma" w:cs="Tahoma"/>
                <w:b/>
                <w:sz w:val="20"/>
                <w:szCs w:val="20"/>
                <w:lang w:val="en-GB"/>
              </w:rPr>
              <w:t>Varia</w:t>
            </w:r>
            <w:r w:rsidR="008E6574" w:rsidRPr="00742CD7">
              <w:rPr>
                <w:rFonts w:ascii="Tahoma" w:hAnsi="Tahoma" w:cs="Tahoma"/>
                <w:b/>
                <w:sz w:val="20"/>
                <w:szCs w:val="20"/>
                <w:lang w:val="en-GB"/>
              </w:rPr>
              <w:t xml:space="preserve">tion </w:t>
            </w:r>
            <w:r w:rsidRPr="00742CD7">
              <w:rPr>
                <w:rFonts w:ascii="Tahoma" w:hAnsi="Tahoma" w:cs="Tahoma"/>
                <w:b/>
                <w:sz w:val="20"/>
                <w:szCs w:val="20"/>
                <w:lang w:val="en-GB"/>
              </w:rPr>
              <w:t>%</w:t>
            </w:r>
          </w:p>
          <w:p w14:paraId="4C7AD891" w14:textId="77777777" w:rsidR="009227B9" w:rsidRPr="00742CD7" w:rsidRDefault="009227B9" w:rsidP="00C62F05">
            <w:pPr>
              <w:pStyle w:val="Standard"/>
              <w:jc w:val="center"/>
              <w:rPr>
                <w:rFonts w:ascii="Tahoma" w:hAnsi="Tahoma" w:cs="Tahoma"/>
                <w:b/>
                <w:sz w:val="20"/>
                <w:szCs w:val="20"/>
                <w:lang w:val="en-GB"/>
              </w:rPr>
            </w:pPr>
            <w:r w:rsidRPr="00742CD7">
              <w:rPr>
                <w:rFonts w:ascii="Tahoma" w:hAnsi="Tahoma" w:cs="Tahoma"/>
                <w:b/>
                <w:sz w:val="20"/>
                <w:szCs w:val="20"/>
                <w:lang w:val="en-GB"/>
              </w:rPr>
              <w:t>2022-23</w:t>
            </w:r>
          </w:p>
        </w:tc>
        <w:tc>
          <w:tcPr>
            <w:tcW w:w="1624" w:type="dxa"/>
            <w:tcBorders>
              <w:top w:val="single" w:sz="4" w:space="0" w:color="000000"/>
              <w:bottom w:val="single" w:sz="4" w:space="0" w:color="000000"/>
            </w:tcBorders>
            <w:shd w:val="clear" w:color="auto" w:fill="auto"/>
            <w:vAlign w:val="center"/>
          </w:tcPr>
          <w:p w14:paraId="1FD2FFC7" w14:textId="28B37A08" w:rsidR="009227B9" w:rsidRPr="00742CD7" w:rsidRDefault="008E6574" w:rsidP="00C62F05">
            <w:pPr>
              <w:pStyle w:val="Standard"/>
              <w:jc w:val="center"/>
              <w:rPr>
                <w:rFonts w:ascii="Tahoma" w:hAnsi="Tahoma" w:cs="Tahoma"/>
                <w:b/>
                <w:sz w:val="20"/>
                <w:szCs w:val="20"/>
                <w:lang w:val="en-GB"/>
              </w:rPr>
            </w:pPr>
            <w:r w:rsidRPr="00742CD7">
              <w:rPr>
                <w:rFonts w:ascii="Tahoma" w:hAnsi="Tahoma" w:cs="Tahoma"/>
                <w:b/>
                <w:sz w:val="20"/>
                <w:szCs w:val="20"/>
                <w:lang w:val="en-GB"/>
              </w:rPr>
              <w:t xml:space="preserve">Variation </w:t>
            </w:r>
            <w:r w:rsidR="009227B9" w:rsidRPr="00742CD7">
              <w:rPr>
                <w:rFonts w:ascii="Tahoma" w:hAnsi="Tahoma" w:cs="Tahoma"/>
                <w:b/>
                <w:sz w:val="20"/>
                <w:szCs w:val="20"/>
                <w:lang w:val="en-GB"/>
              </w:rPr>
              <w:t>%</w:t>
            </w:r>
          </w:p>
          <w:p w14:paraId="7CAB4B9B" w14:textId="77777777" w:rsidR="009227B9" w:rsidRPr="00742CD7" w:rsidRDefault="009227B9" w:rsidP="00C62F05">
            <w:pPr>
              <w:pStyle w:val="Standard"/>
              <w:jc w:val="center"/>
              <w:rPr>
                <w:rFonts w:ascii="Tahoma" w:hAnsi="Tahoma" w:cs="Tahoma"/>
                <w:b/>
                <w:sz w:val="20"/>
                <w:szCs w:val="20"/>
                <w:lang w:val="en-GB"/>
              </w:rPr>
            </w:pPr>
            <w:r w:rsidRPr="00742CD7">
              <w:rPr>
                <w:rFonts w:ascii="Tahoma" w:hAnsi="Tahoma" w:cs="Tahoma"/>
                <w:b/>
                <w:sz w:val="20"/>
                <w:szCs w:val="20"/>
                <w:lang w:val="en-GB"/>
              </w:rPr>
              <w:t>2013-23</w:t>
            </w:r>
          </w:p>
        </w:tc>
      </w:tr>
      <w:tr w:rsidR="009227B9" w:rsidRPr="00742CD7" w14:paraId="74EEACB6" w14:textId="77777777" w:rsidTr="00C62F05">
        <w:trPr>
          <w:trHeight w:val="300"/>
          <w:jc w:val="center"/>
        </w:trPr>
        <w:tc>
          <w:tcPr>
            <w:tcW w:w="2267" w:type="dxa"/>
            <w:tcBorders>
              <w:top w:val="single" w:sz="4" w:space="0" w:color="000000"/>
            </w:tcBorders>
            <w:shd w:val="clear" w:color="auto" w:fill="auto"/>
            <w:vAlign w:val="center"/>
          </w:tcPr>
          <w:p w14:paraId="273257C9" w14:textId="390338EB" w:rsidR="009227B9" w:rsidRPr="00742CD7" w:rsidRDefault="008E6574" w:rsidP="00C62F05">
            <w:pPr>
              <w:pStyle w:val="Standard"/>
              <w:rPr>
                <w:rFonts w:ascii="Tahoma" w:hAnsi="Tahoma" w:cs="Tahoma"/>
                <w:sz w:val="20"/>
                <w:szCs w:val="20"/>
                <w:lang w:val="en-GB"/>
              </w:rPr>
            </w:pPr>
            <w:r w:rsidRPr="00742CD7">
              <w:rPr>
                <w:rFonts w:ascii="Tahoma" w:hAnsi="Tahoma" w:cs="Tahoma"/>
                <w:sz w:val="20"/>
                <w:szCs w:val="20"/>
                <w:lang w:val="en-GB"/>
              </w:rPr>
              <w:t>Born in Italy</w:t>
            </w:r>
          </w:p>
        </w:tc>
        <w:tc>
          <w:tcPr>
            <w:tcW w:w="1985" w:type="dxa"/>
            <w:tcBorders>
              <w:top w:val="single" w:sz="4" w:space="0" w:color="000000"/>
            </w:tcBorders>
            <w:shd w:val="clear" w:color="auto" w:fill="auto"/>
            <w:vAlign w:val="center"/>
          </w:tcPr>
          <w:p w14:paraId="515E7D9B" w14:textId="4144D75C"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6</w:t>
            </w:r>
            <w:r w:rsidR="008E6574" w:rsidRPr="00742CD7">
              <w:rPr>
                <w:rFonts w:ascii="Tahoma" w:hAnsi="Tahoma" w:cs="Tahoma"/>
                <w:sz w:val="20"/>
                <w:szCs w:val="20"/>
                <w:lang w:val="en-GB"/>
              </w:rPr>
              <w:t>,</w:t>
            </w:r>
            <w:r w:rsidRPr="00742CD7">
              <w:rPr>
                <w:rFonts w:ascii="Tahoma" w:hAnsi="Tahoma" w:cs="Tahoma"/>
                <w:sz w:val="20"/>
                <w:szCs w:val="20"/>
                <w:lang w:val="en-GB"/>
              </w:rPr>
              <w:t>679</w:t>
            </w:r>
            <w:r w:rsidR="008E6574" w:rsidRPr="00742CD7">
              <w:rPr>
                <w:rFonts w:ascii="Tahoma" w:hAnsi="Tahoma" w:cs="Tahoma"/>
                <w:sz w:val="20"/>
                <w:szCs w:val="20"/>
                <w:lang w:val="en-GB"/>
              </w:rPr>
              <w:t>,</w:t>
            </w:r>
            <w:r w:rsidRPr="00742CD7">
              <w:rPr>
                <w:rFonts w:ascii="Tahoma" w:hAnsi="Tahoma" w:cs="Tahoma"/>
                <w:sz w:val="20"/>
                <w:szCs w:val="20"/>
                <w:lang w:val="en-GB"/>
              </w:rPr>
              <w:t>020</w:t>
            </w:r>
          </w:p>
        </w:tc>
        <w:tc>
          <w:tcPr>
            <w:tcW w:w="1943" w:type="dxa"/>
            <w:tcBorders>
              <w:top w:val="single" w:sz="4" w:space="0" w:color="000000"/>
            </w:tcBorders>
            <w:shd w:val="clear" w:color="auto" w:fill="auto"/>
            <w:vAlign w:val="center"/>
          </w:tcPr>
          <w:p w14:paraId="31057701" w14:textId="1FAF100E"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89</w:t>
            </w:r>
            <w:r w:rsidR="008E6574" w:rsidRPr="00742CD7">
              <w:rPr>
                <w:rFonts w:ascii="Tahoma" w:hAnsi="Tahoma" w:cs="Tahoma"/>
                <w:sz w:val="20"/>
                <w:szCs w:val="20"/>
                <w:lang w:val="en-GB"/>
              </w:rPr>
              <w:t>.</w:t>
            </w:r>
            <w:r w:rsidRPr="00742CD7">
              <w:rPr>
                <w:rFonts w:ascii="Tahoma" w:hAnsi="Tahoma" w:cs="Tahoma"/>
                <w:sz w:val="20"/>
                <w:szCs w:val="20"/>
                <w:lang w:val="en-GB"/>
              </w:rPr>
              <w:t>3%</w:t>
            </w:r>
          </w:p>
        </w:tc>
        <w:tc>
          <w:tcPr>
            <w:tcW w:w="1623" w:type="dxa"/>
            <w:tcBorders>
              <w:top w:val="single" w:sz="4" w:space="0" w:color="000000"/>
            </w:tcBorders>
            <w:shd w:val="clear" w:color="auto" w:fill="auto"/>
            <w:vAlign w:val="center"/>
          </w:tcPr>
          <w:p w14:paraId="39B33715" w14:textId="5266DD1F"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-0</w:t>
            </w:r>
            <w:r w:rsidR="008E6574" w:rsidRPr="00742CD7">
              <w:rPr>
                <w:rFonts w:ascii="Tahoma" w:hAnsi="Tahoma" w:cs="Tahoma"/>
                <w:sz w:val="20"/>
                <w:szCs w:val="20"/>
                <w:lang w:val="en-GB"/>
              </w:rPr>
              <w:t>.</w:t>
            </w:r>
            <w:r w:rsidRPr="00742CD7">
              <w:rPr>
                <w:rFonts w:ascii="Tahoma" w:hAnsi="Tahoma" w:cs="Tahoma"/>
                <w:sz w:val="20"/>
                <w:szCs w:val="20"/>
                <w:lang w:val="en-GB"/>
              </w:rPr>
              <w:t>6%</w:t>
            </w:r>
          </w:p>
        </w:tc>
        <w:tc>
          <w:tcPr>
            <w:tcW w:w="1624" w:type="dxa"/>
            <w:tcBorders>
              <w:top w:val="single" w:sz="4" w:space="0" w:color="000000"/>
            </w:tcBorders>
            <w:shd w:val="clear" w:color="auto" w:fill="auto"/>
            <w:vAlign w:val="center"/>
          </w:tcPr>
          <w:p w14:paraId="2B54F2AD" w14:textId="34750F66"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-6</w:t>
            </w:r>
            <w:r w:rsidR="008E6574" w:rsidRPr="00742CD7">
              <w:rPr>
                <w:rFonts w:ascii="Tahoma" w:hAnsi="Tahoma" w:cs="Tahoma"/>
                <w:sz w:val="20"/>
                <w:szCs w:val="20"/>
                <w:lang w:val="en-GB"/>
              </w:rPr>
              <w:t>.</w:t>
            </w:r>
            <w:r w:rsidRPr="00742CD7">
              <w:rPr>
                <w:rFonts w:ascii="Tahoma" w:hAnsi="Tahoma" w:cs="Tahoma"/>
                <w:sz w:val="20"/>
                <w:szCs w:val="20"/>
                <w:lang w:val="en-GB"/>
              </w:rPr>
              <w:t>4%</w:t>
            </w:r>
          </w:p>
        </w:tc>
      </w:tr>
      <w:tr w:rsidR="009227B9" w:rsidRPr="00742CD7" w14:paraId="1D76589E" w14:textId="77777777" w:rsidTr="00C62F05">
        <w:trPr>
          <w:trHeight w:val="300"/>
          <w:jc w:val="center"/>
        </w:trPr>
        <w:tc>
          <w:tcPr>
            <w:tcW w:w="2267" w:type="dxa"/>
            <w:tcBorders>
              <w:bottom w:val="single" w:sz="4" w:space="0" w:color="000000"/>
            </w:tcBorders>
            <w:shd w:val="clear" w:color="auto" w:fill="auto"/>
            <w:vAlign w:val="center"/>
          </w:tcPr>
          <w:p w14:paraId="0364C878" w14:textId="400BE02F" w:rsidR="009227B9" w:rsidRPr="00742CD7" w:rsidRDefault="008E6574" w:rsidP="00C62F05">
            <w:pPr>
              <w:pStyle w:val="Standard"/>
              <w:rPr>
                <w:rFonts w:ascii="Tahoma" w:hAnsi="Tahoma" w:cs="Tahoma"/>
                <w:sz w:val="20"/>
                <w:szCs w:val="20"/>
                <w:lang w:val="en-GB"/>
              </w:rPr>
            </w:pPr>
            <w:r w:rsidRPr="00742CD7">
              <w:rPr>
                <w:rFonts w:ascii="Tahoma" w:hAnsi="Tahoma" w:cs="Tahoma"/>
                <w:sz w:val="20"/>
                <w:szCs w:val="20"/>
                <w:lang w:val="en-GB"/>
              </w:rPr>
              <w:t>Born abroad</w:t>
            </w:r>
          </w:p>
        </w:tc>
        <w:tc>
          <w:tcPr>
            <w:tcW w:w="1985" w:type="dxa"/>
            <w:tcBorders>
              <w:bottom w:val="single" w:sz="4" w:space="0" w:color="000000"/>
            </w:tcBorders>
            <w:shd w:val="clear" w:color="auto" w:fill="auto"/>
            <w:vAlign w:val="center"/>
          </w:tcPr>
          <w:p w14:paraId="4C6B4AEE" w14:textId="614552F4"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775</w:t>
            </w:r>
            <w:r w:rsidR="008E6574" w:rsidRPr="00742CD7">
              <w:rPr>
                <w:rFonts w:ascii="Tahoma" w:hAnsi="Tahoma" w:cs="Tahoma"/>
                <w:sz w:val="20"/>
                <w:szCs w:val="20"/>
                <w:lang w:val="en-GB"/>
              </w:rPr>
              <w:t>,</w:t>
            </w:r>
            <w:r w:rsidRPr="00742CD7">
              <w:rPr>
                <w:rFonts w:ascii="Tahoma" w:hAnsi="Tahoma" w:cs="Tahoma"/>
                <w:sz w:val="20"/>
                <w:szCs w:val="20"/>
                <w:lang w:val="en-GB"/>
              </w:rPr>
              <w:t>559</w:t>
            </w:r>
          </w:p>
        </w:tc>
        <w:tc>
          <w:tcPr>
            <w:tcW w:w="1943" w:type="dxa"/>
            <w:tcBorders>
              <w:bottom w:val="single" w:sz="4" w:space="0" w:color="000000"/>
            </w:tcBorders>
            <w:shd w:val="clear" w:color="auto" w:fill="auto"/>
            <w:vAlign w:val="center"/>
          </w:tcPr>
          <w:p w14:paraId="4B267429" w14:textId="34BFC770"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10</w:t>
            </w:r>
            <w:r w:rsidR="008E6574" w:rsidRPr="00742CD7">
              <w:rPr>
                <w:rFonts w:ascii="Tahoma" w:hAnsi="Tahoma" w:cs="Tahoma"/>
                <w:sz w:val="20"/>
                <w:szCs w:val="20"/>
                <w:lang w:val="en-GB"/>
              </w:rPr>
              <w:t>.</w:t>
            </w:r>
            <w:r w:rsidRPr="00742CD7">
              <w:rPr>
                <w:rFonts w:ascii="Tahoma" w:hAnsi="Tahoma" w:cs="Tahoma"/>
                <w:sz w:val="20"/>
                <w:szCs w:val="20"/>
                <w:lang w:val="en-GB"/>
              </w:rPr>
              <w:t>4%</w:t>
            </w:r>
          </w:p>
        </w:tc>
        <w:tc>
          <w:tcPr>
            <w:tcW w:w="1623" w:type="dxa"/>
            <w:tcBorders>
              <w:bottom w:val="single" w:sz="4" w:space="0" w:color="000000"/>
            </w:tcBorders>
            <w:shd w:val="clear" w:color="auto" w:fill="auto"/>
            <w:vAlign w:val="center"/>
          </w:tcPr>
          <w:p w14:paraId="1D4331B9" w14:textId="12ADA28A"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+1</w:t>
            </w:r>
            <w:r w:rsidR="008E6574" w:rsidRPr="00742CD7">
              <w:rPr>
                <w:rFonts w:ascii="Tahoma" w:hAnsi="Tahoma" w:cs="Tahoma"/>
                <w:sz w:val="20"/>
                <w:szCs w:val="20"/>
                <w:lang w:val="en-GB"/>
              </w:rPr>
              <w:t>.</w:t>
            </w:r>
            <w:r w:rsidRPr="00742CD7">
              <w:rPr>
                <w:rFonts w:ascii="Tahoma" w:hAnsi="Tahoma" w:cs="Tahoma"/>
                <w:sz w:val="20"/>
                <w:szCs w:val="20"/>
                <w:lang w:val="en-GB"/>
              </w:rPr>
              <w:t>9%</w:t>
            </w:r>
          </w:p>
        </w:tc>
        <w:tc>
          <w:tcPr>
            <w:tcW w:w="1624" w:type="dxa"/>
            <w:tcBorders>
              <w:bottom w:val="single" w:sz="4" w:space="0" w:color="000000"/>
            </w:tcBorders>
            <w:shd w:val="clear" w:color="auto" w:fill="auto"/>
            <w:vAlign w:val="center"/>
          </w:tcPr>
          <w:p w14:paraId="35D73E1B" w14:textId="6E49E58B"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+27</w:t>
            </w:r>
            <w:r w:rsidR="008E6574" w:rsidRPr="00742CD7">
              <w:rPr>
                <w:rFonts w:ascii="Tahoma" w:hAnsi="Tahoma" w:cs="Tahoma"/>
                <w:sz w:val="20"/>
                <w:szCs w:val="20"/>
                <w:lang w:val="en-GB"/>
              </w:rPr>
              <w:t>.</w:t>
            </w:r>
            <w:r w:rsidRPr="00742CD7">
              <w:rPr>
                <w:rFonts w:ascii="Tahoma" w:hAnsi="Tahoma" w:cs="Tahoma"/>
                <w:sz w:val="20"/>
                <w:szCs w:val="20"/>
                <w:lang w:val="en-GB"/>
              </w:rPr>
              <w:t>3%</w:t>
            </w:r>
          </w:p>
        </w:tc>
      </w:tr>
      <w:tr w:rsidR="009227B9" w:rsidRPr="00742CD7" w14:paraId="5A81C439" w14:textId="77777777" w:rsidTr="00C62F05">
        <w:trPr>
          <w:trHeight w:val="300"/>
          <w:jc w:val="center"/>
        </w:trPr>
        <w:tc>
          <w:tcPr>
            <w:tcW w:w="2267" w:type="dxa"/>
            <w:tcBorders>
              <w:top w:val="single" w:sz="4" w:space="0" w:color="000000"/>
              <w:bottom w:val="single" w:sz="4" w:space="0" w:color="000000"/>
            </w:tcBorders>
            <w:shd w:val="clear" w:color="auto" w:fill="auto"/>
            <w:vAlign w:val="center"/>
          </w:tcPr>
          <w:p w14:paraId="603271D3" w14:textId="22A43F39" w:rsidR="009227B9" w:rsidRPr="00742CD7" w:rsidRDefault="009227B9" w:rsidP="00C62F05">
            <w:pPr>
              <w:pStyle w:val="Standard"/>
              <w:rPr>
                <w:rFonts w:ascii="Tahoma" w:hAnsi="Tahoma" w:cs="Tahoma"/>
                <w:sz w:val="20"/>
                <w:szCs w:val="20"/>
                <w:lang w:val="en-GB"/>
              </w:rPr>
            </w:pPr>
            <w:r w:rsidRPr="00742CD7">
              <w:rPr>
                <w:rFonts w:ascii="Tahoma" w:hAnsi="Tahoma" w:cs="Tahoma"/>
                <w:sz w:val="20"/>
                <w:szCs w:val="20"/>
                <w:lang w:val="en-GB"/>
              </w:rPr>
              <w:t>Total</w:t>
            </w:r>
          </w:p>
        </w:tc>
        <w:tc>
          <w:tcPr>
            <w:tcW w:w="1985" w:type="dxa"/>
            <w:tcBorders>
              <w:top w:val="single" w:sz="4" w:space="0" w:color="000000"/>
              <w:bottom w:val="single" w:sz="4" w:space="0" w:color="000000"/>
            </w:tcBorders>
            <w:shd w:val="clear" w:color="auto" w:fill="auto"/>
            <w:vAlign w:val="center"/>
          </w:tcPr>
          <w:p w14:paraId="0A458FFC" w14:textId="74891049"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7</w:t>
            </w:r>
            <w:r w:rsidR="008E6574" w:rsidRPr="00742CD7">
              <w:rPr>
                <w:rFonts w:ascii="Tahoma" w:hAnsi="Tahoma" w:cs="Tahoma"/>
                <w:sz w:val="20"/>
                <w:szCs w:val="20"/>
                <w:lang w:val="en-GB"/>
              </w:rPr>
              <w:t>,</w:t>
            </w:r>
            <w:r w:rsidRPr="00742CD7">
              <w:rPr>
                <w:rFonts w:ascii="Tahoma" w:hAnsi="Tahoma" w:cs="Tahoma"/>
                <w:sz w:val="20"/>
                <w:szCs w:val="20"/>
                <w:lang w:val="en-GB"/>
              </w:rPr>
              <w:t>478</w:t>
            </w:r>
            <w:r w:rsidR="008E6574" w:rsidRPr="00742CD7">
              <w:rPr>
                <w:rFonts w:ascii="Tahoma" w:hAnsi="Tahoma" w:cs="Tahoma"/>
                <w:sz w:val="20"/>
                <w:szCs w:val="20"/>
                <w:lang w:val="en-GB"/>
              </w:rPr>
              <w:t>,</w:t>
            </w:r>
            <w:r w:rsidRPr="00742CD7">
              <w:rPr>
                <w:rFonts w:ascii="Tahoma" w:hAnsi="Tahoma" w:cs="Tahoma"/>
                <w:sz w:val="20"/>
                <w:szCs w:val="20"/>
                <w:lang w:val="en-GB"/>
              </w:rPr>
              <w:t>706</w:t>
            </w:r>
          </w:p>
        </w:tc>
        <w:tc>
          <w:tcPr>
            <w:tcW w:w="1943" w:type="dxa"/>
            <w:tcBorders>
              <w:top w:val="single" w:sz="4" w:space="0" w:color="000000"/>
              <w:bottom w:val="single" w:sz="4" w:space="0" w:color="000000"/>
            </w:tcBorders>
            <w:shd w:val="clear" w:color="auto" w:fill="auto"/>
            <w:vAlign w:val="center"/>
          </w:tcPr>
          <w:p w14:paraId="29B17257" w14:textId="77777777"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100%</w:t>
            </w:r>
          </w:p>
        </w:tc>
        <w:tc>
          <w:tcPr>
            <w:tcW w:w="1623" w:type="dxa"/>
            <w:tcBorders>
              <w:top w:val="single" w:sz="4" w:space="0" w:color="000000"/>
              <w:bottom w:val="single" w:sz="4" w:space="0" w:color="000000"/>
            </w:tcBorders>
            <w:shd w:val="clear" w:color="auto" w:fill="auto"/>
            <w:vAlign w:val="center"/>
          </w:tcPr>
          <w:p w14:paraId="177C4B80" w14:textId="2505B0EC"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-0</w:t>
            </w:r>
            <w:r w:rsidR="008E6574" w:rsidRPr="00742CD7">
              <w:rPr>
                <w:rFonts w:ascii="Tahoma" w:hAnsi="Tahoma" w:cs="Tahoma"/>
                <w:sz w:val="20"/>
                <w:szCs w:val="20"/>
                <w:lang w:val="en-GB"/>
              </w:rPr>
              <w:t>.</w:t>
            </w:r>
            <w:r w:rsidRPr="00742CD7">
              <w:rPr>
                <w:rFonts w:ascii="Tahoma" w:hAnsi="Tahoma" w:cs="Tahoma"/>
                <w:sz w:val="20"/>
                <w:szCs w:val="20"/>
                <w:lang w:val="en-GB"/>
              </w:rPr>
              <w:t>4%</w:t>
            </w:r>
          </w:p>
        </w:tc>
        <w:tc>
          <w:tcPr>
            <w:tcW w:w="1624" w:type="dxa"/>
            <w:tcBorders>
              <w:top w:val="single" w:sz="4" w:space="0" w:color="000000"/>
              <w:bottom w:val="single" w:sz="4" w:space="0" w:color="000000"/>
            </w:tcBorders>
            <w:shd w:val="clear" w:color="auto" w:fill="auto"/>
            <w:vAlign w:val="center"/>
          </w:tcPr>
          <w:p w14:paraId="16692374" w14:textId="7975FE6F" w:rsidR="009227B9" w:rsidRPr="00742CD7" w:rsidRDefault="009227B9" w:rsidP="00C62F05">
            <w:pPr>
              <w:pStyle w:val="Standard"/>
              <w:jc w:val="center"/>
              <w:rPr>
                <w:rFonts w:ascii="Tahoma" w:hAnsi="Tahoma" w:cs="Tahoma"/>
                <w:sz w:val="20"/>
                <w:szCs w:val="20"/>
                <w:lang w:val="en-GB"/>
              </w:rPr>
            </w:pPr>
            <w:r w:rsidRPr="00742CD7">
              <w:rPr>
                <w:rFonts w:ascii="Tahoma" w:hAnsi="Tahoma" w:cs="Tahoma"/>
                <w:sz w:val="20"/>
                <w:szCs w:val="20"/>
                <w:lang w:val="en-GB"/>
              </w:rPr>
              <w:t>-4</w:t>
            </w:r>
            <w:r w:rsidR="008E6574" w:rsidRPr="00742CD7">
              <w:rPr>
                <w:rFonts w:ascii="Tahoma" w:hAnsi="Tahoma" w:cs="Tahoma"/>
                <w:sz w:val="20"/>
                <w:szCs w:val="20"/>
                <w:lang w:val="en-GB"/>
              </w:rPr>
              <w:t>.</w:t>
            </w:r>
            <w:r w:rsidRPr="00742CD7">
              <w:rPr>
                <w:rFonts w:ascii="Tahoma" w:hAnsi="Tahoma" w:cs="Tahoma"/>
                <w:sz w:val="20"/>
                <w:szCs w:val="20"/>
                <w:lang w:val="en-GB"/>
              </w:rPr>
              <w:t>1%</w:t>
            </w:r>
          </w:p>
        </w:tc>
      </w:tr>
    </w:tbl>
    <w:p w14:paraId="3F51A98E" w14:textId="197D6574" w:rsidR="009227B9" w:rsidRPr="00742CD7" w:rsidRDefault="008E6574" w:rsidP="00E559B2">
      <w:pPr>
        <w:spacing w:after="0" w:line="360" w:lineRule="auto"/>
        <w:jc w:val="both"/>
        <w:rPr>
          <w:rFonts w:ascii="Tahoma" w:hAnsi="Tahoma" w:cs="Tahoma"/>
          <w:i/>
          <w:iCs/>
          <w:sz w:val="20"/>
          <w:szCs w:val="20"/>
          <w:lang w:val="en-GB"/>
        </w:rPr>
      </w:pPr>
      <w:r w:rsidRPr="00742CD7">
        <w:rPr>
          <w:rFonts w:ascii="Tahoma" w:hAnsi="Tahoma" w:cs="Tahoma"/>
          <w:sz w:val="20"/>
          <w:szCs w:val="20"/>
          <w:lang w:val="en-GB"/>
        </w:rPr>
        <w:t>Source</w:t>
      </w:r>
      <w:r w:rsidR="009227B9" w:rsidRPr="00742CD7">
        <w:rPr>
          <w:rFonts w:ascii="Tahoma" w:hAnsi="Tahoma" w:cs="Tahoma"/>
          <w:sz w:val="20"/>
          <w:szCs w:val="20"/>
          <w:lang w:val="en-GB"/>
        </w:rPr>
        <w:t xml:space="preserve">: </w:t>
      </w:r>
      <w:r w:rsidR="009227B9" w:rsidRPr="00742CD7">
        <w:rPr>
          <w:rFonts w:ascii="Tahoma" w:hAnsi="Tahoma" w:cs="Tahoma"/>
          <w:i/>
          <w:iCs/>
          <w:sz w:val="20"/>
          <w:szCs w:val="20"/>
          <w:lang w:val="en-GB"/>
        </w:rPr>
        <w:t xml:space="preserve">Leone Moressa </w:t>
      </w:r>
      <w:r w:rsidR="00742CD7" w:rsidRPr="00742CD7">
        <w:rPr>
          <w:rFonts w:ascii="Tahoma" w:hAnsi="Tahoma" w:cs="Tahoma"/>
          <w:i/>
          <w:iCs/>
          <w:sz w:val="20"/>
          <w:szCs w:val="20"/>
          <w:lang w:val="en-GB"/>
        </w:rPr>
        <w:t>Foundation elaboration on</w:t>
      </w:r>
      <w:r w:rsidR="009227B9" w:rsidRPr="00742CD7">
        <w:rPr>
          <w:rFonts w:ascii="Tahoma" w:hAnsi="Tahoma" w:cs="Tahoma"/>
          <w:i/>
          <w:iCs/>
          <w:sz w:val="20"/>
          <w:szCs w:val="20"/>
          <w:lang w:val="en-GB"/>
        </w:rPr>
        <w:t xml:space="preserve"> </w:t>
      </w:r>
      <w:proofErr w:type="spellStart"/>
      <w:r w:rsidR="009227B9" w:rsidRPr="00742CD7">
        <w:rPr>
          <w:rFonts w:ascii="Tahoma" w:hAnsi="Tahoma" w:cs="Tahoma"/>
          <w:i/>
          <w:iCs/>
          <w:sz w:val="20"/>
          <w:szCs w:val="20"/>
          <w:lang w:val="en-GB"/>
        </w:rPr>
        <w:t>StockView-Infocamere</w:t>
      </w:r>
      <w:proofErr w:type="spellEnd"/>
      <w:r w:rsidR="009227B9" w:rsidRPr="00742CD7">
        <w:rPr>
          <w:rFonts w:ascii="Tahoma" w:hAnsi="Tahoma" w:cs="Tahoma"/>
          <w:i/>
          <w:iCs/>
          <w:sz w:val="20"/>
          <w:szCs w:val="20"/>
          <w:lang w:val="en-GB"/>
        </w:rPr>
        <w:t xml:space="preserve"> </w:t>
      </w:r>
      <w:r w:rsidR="00742CD7" w:rsidRPr="00742CD7">
        <w:rPr>
          <w:rFonts w:ascii="Tahoma" w:hAnsi="Tahoma" w:cs="Tahoma"/>
          <w:i/>
          <w:iCs/>
          <w:sz w:val="20"/>
          <w:szCs w:val="20"/>
          <w:lang w:val="en-GB"/>
        </w:rPr>
        <w:t xml:space="preserve">data, provided by </w:t>
      </w:r>
      <w:r w:rsidR="009227B9" w:rsidRPr="00742CD7">
        <w:rPr>
          <w:rFonts w:ascii="Tahoma" w:hAnsi="Tahoma" w:cs="Tahoma"/>
          <w:i/>
          <w:iCs/>
          <w:sz w:val="20"/>
          <w:szCs w:val="20"/>
          <w:lang w:val="en-GB"/>
        </w:rPr>
        <w:t>CCIAA VE-</w:t>
      </w:r>
    </w:p>
    <w:p w14:paraId="3AE2872D" w14:textId="77777777" w:rsidR="00997AED" w:rsidRPr="00742CD7" w:rsidRDefault="00997AED" w:rsidP="00E559B2">
      <w:pPr>
        <w:spacing w:after="0" w:line="360" w:lineRule="auto"/>
        <w:jc w:val="both"/>
        <w:rPr>
          <w:rFonts w:ascii="Tahoma" w:hAnsi="Tahoma" w:cs="Tahoma"/>
          <w:sz w:val="20"/>
          <w:szCs w:val="20"/>
          <w:lang w:val="en-GB"/>
        </w:rPr>
      </w:pPr>
    </w:p>
    <w:p w14:paraId="1F6893FB" w14:textId="2B20EF3C" w:rsidR="00FE4329" w:rsidRPr="00742CD7" w:rsidRDefault="00742CD7" w:rsidP="00997AED">
      <w:pPr>
        <w:spacing w:after="0" w:line="360" w:lineRule="auto"/>
        <w:jc w:val="both"/>
        <w:rPr>
          <w:rFonts w:ascii="Tahoma" w:hAnsi="Tahoma" w:cs="Tahoma"/>
          <w:sz w:val="20"/>
          <w:szCs w:val="20"/>
          <w:lang w:val="en-GB"/>
        </w:rPr>
      </w:pPr>
      <w:r w:rsidRPr="00742CD7">
        <w:rPr>
          <w:rFonts w:ascii="Tahoma" w:hAnsi="Tahoma" w:cs="Tahoma"/>
          <w:sz w:val="20"/>
          <w:szCs w:val="20"/>
          <w:lang w:val="en-GB"/>
        </w:rPr>
        <w:t xml:space="preserve">The phenomenon of immigrant entrepreneurship, like other dynamics related to the presence of foreigners in Italy, also has its pros and cons. The purpose of the report on immigration economics is precisely to provide data and analyses useful for understanding the complexity of these phenomena, moving away from the ideological logic of "for or against" and delving instead into the depth of these issues. </w:t>
      </w:r>
      <w:r w:rsidR="00FE4329" w:rsidRPr="00742CD7">
        <w:rPr>
          <w:rFonts w:ascii="Tahoma" w:hAnsi="Tahoma" w:cs="Tahoma"/>
          <w:sz w:val="20"/>
          <w:szCs w:val="20"/>
          <w:lang w:val="en-GB"/>
        </w:rPr>
        <w:br w:type="page"/>
      </w:r>
    </w:p>
    <w:p w14:paraId="7A9E1A4D" w14:textId="6C6FB36F" w:rsidR="00FE4329" w:rsidRPr="00742CD7" w:rsidRDefault="00963DD2" w:rsidP="00A126BF">
      <w:pPr>
        <w:spacing w:after="0" w:line="360" w:lineRule="auto"/>
        <w:jc w:val="both"/>
        <w:rPr>
          <w:rFonts w:ascii="Tahoma" w:hAnsi="Tahoma" w:cs="Tahoma"/>
          <w:sz w:val="20"/>
          <w:szCs w:val="20"/>
          <w:lang w:val="en-GB"/>
        </w:rPr>
      </w:pPr>
      <w:r>
        <w:rPr>
          <w:rFonts w:ascii="Tahoma" w:hAnsi="Tahoma" w:cs="Tahoma"/>
          <w:noProof/>
          <w:sz w:val="20"/>
          <w:szCs w:val="20"/>
          <w:lang w:val="en-GB"/>
        </w:rPr>
        <w:lastRenderedPageBreak/>
        <w:drawing>
          <wp:inline distT="0" distB="0" distL="0" distR="0" wp14:anchorId="6859A0A4" wp14:editId="5AAA901D">
            <wp:extent cx="5966460" cy="8618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r>
        <w:rPr>
          <w:rFonts w:ascii="Tahoma" w:hAnsi="Tahoma" w:cs="Tahoma"/>
          <w:noProof/>
          <w:sz w:val="20"/>
          <w:szCs w:val="20"/>
          <w:lang w:val="en-GB"/>
        </w:rPr>
        <w:lastRenderedPageBreak/>
        <w:drawing>
          <wp:inline distT="0" distB="0" distL="0" distR="0" wp14:anchorId="5ACEFC6F" wp14:editId="5C679A33">
            <wp:extent cx="5966460" cy="86182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r>
        <w:rPr>
          <w:rFonts w:ascii="Tahoma" w:hAnsi="Tahoma" w:cs="Tahoma"/>
          <w:noProof/>
          <w:sz w:val="20"/>
          <w:szCs w:val="20"/>
          <w:lang w:val="en-GB"/>
        </w:rPr>
        <w:lastRenderedPageBreak/>
        <w:drawing>
          <wp:inline distT="0" distB="0" distL="0" distR="0" wp14:anchorId="59740901" wp14:editId="0D93856D">
            <wp:extent cx="5966460" cy="8618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r>
        <w:rPr>
          <w:rFonts w:ascii="Tahoma" w:hAnsi="Tahoma" w:cs="Tahoma"/>
          <w:noProof/>
          <w:sz w:val="20"/>
          <w:szCs w:val="20"/>
          <w:lang w:val="en-GB"/>
        </w:rPr>
        <w:lastRenderedPageBreak/>
        <w:drawing>
          <wp:inline distT="0" distB="0" distL="0" distR="0" wp14:anchorId="60E579D6" wp14:editId="6F72537A">
            <wp:extent cx="5966460" cy="86182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r>
        <w:rPr>
          <w:rFonts w:ascii="Tahoma" w:hAnsi="Tahoma" w:cs="Tahoma"/>
          <w:noProof/>
          <w:sz w:val="20"/>
          <w:szCs w:val="20"/>
          <w:lang w:val="en-GB"/>
        </w:rPr>
        <w:lastRenderedPageBreak/>
        <w:drawing>
          <wp:inline distT="0" distB="0" distL="0" distR="0" wp14:anchorId="14439F57" wp14:editId="0FF967F5">
            <wp:extent cx="5966460" cy="86182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positiva5.PNG"/>
                    <pic:cNvPicPr/>
                  </pic:nvPicPr>
                  <pic:blipFill>
                    <a:blip r:embed="rId12">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sectPr w:rsidR="00FE4329" w:rsidRPr="00742CD7">
      <w:pgSz w:w="12240" w:h="15840"/>
      <w:pgMar w:top="1134"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3538" w14:textId="77777777" w:rsidR="00AB1245" w:rsidRDefault="00AB1245">
      <w:pPr>
        <w:spacing w:after="0" w:line="240" w:lineRule="auto"/>
      </w:pPr>
      <w:r>
        <w:separator/>
      </w:r>
    </w:p>
  </w:endnote>
  <w:endnote w:type="continuationSeparator" w:id="0">
    <w:p w14:paraId="36BE90C3" w14:textId="77777777" w:rsidR="00AB1245" w:rsidRDefault="00AB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roman"/>
    <w:notTrueType/>
    <w:pitch w:val="default"/>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9F2B2" w14:textId="77777777" w:rsidR="00AB1245" w:rsidRDefault="00AB1245"/>
  </w:footnote>
  <w:footnote w:type="continuationSeparator" w:id="0">
    <w:p w14:paraId="4F7DEA23" w14:textId="77777777" w:rsidR="00AB1245" w:rsidRDefault="00AB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7"/>
  </w:num>
  <w:num w:numId="6">
    <w:abstractNumId w:val="4"/>
  </w:num>
  <w:num w:numId="7">
    <w:abstractNumId w:val="10"/>
  </w:num>
  <w:num w:numId="8">
    <w:abstractNumId w:val="12"/>
  </w:num>
  <w:num w:numId="9">
    <w:abstractNumId w:val="0"/>
  </w:num>
  <w:num w:numId="10">
    <w:abstractNumId w:val="3"/>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48"/>
    <w:rsid w:val="00001610"/>
    <w:rsid w:val="00012A5D"/>
    <w:rsid w:val="000227EB"/>
    <w:rsid w:val="00040F0A"/>
    <w:rsid w:val="000965C6"/>
    <w:rsid w:val="000A3094"/>
    <w:rsid w:val="0012495D"/>
    <w:rsid w:val="001A49CC"/>
    <w:rsid w:val="001B2337"/>
    <w:rsid w:val="001C024A"/>
    <w:rsid w:val="001C2987"/>
    <w:rsid w:val="001C4E84"/>
    <w:rsid w:val="001D24D9"/>
    <w:rsid w:val="001F0B0A"/>
    <w:rsid w:val="00216322"/>
    <w:rsid w:val="00234523"/>
    <w:rsid w:val="00247482"/>
    <w:rsid w:val="00254CD8"/>
    <w:rsid w:val="00291A88"/>
    <w:rsid w:val="0029640D"/>
    <w:rsid w:val="002A3C2F"/>
    <w:rsid w:val="002A548E"/>
    <w:rsid w:val="002A5F19"/>
    <w:rsid w:val="002A61EE"/>
    <w:rsid w:val="002B39CE"/>
    <w:rsid w:val="002C5E16"/>
    <w:rsid w:val="002C796C"/>
    <w:rsid w:val="002D706F"/>
    <w:rsid w:val="003222AB"/>
    <w:rsid w:val="00322C2E"/>
    <w:rsid w:val="00324874"/>
    <w:rsid w:val="003512B5"/>
    <w:rsid w:val="003573AC"/>
    <w:rsid w:val="0036048C"/>
    <w:rsid w:val="00361AA2"/>
    <w:rsid w:val="003F3893"/>
    <w:rsid w:val="00406C61"/>
    <w:rsid w:val="004A2036"/>
    <w:rsid w:val="004E3986"/>
    <w:rsid w:val="005252BA"/>
    <w:rsid w:val="0052543D"/>
    <w:rsid w:val="005259B6"/>
    <w:rsid w:val="00543203"/>
    <w:rsid w:val="00552AB6"/>
    <w:rsid w:val="00585B47"/>
    <w:rsid w:val="00587408"/>
    <w:rsid w:val="00596FEC"/>
    <w:rsid w:val="005A2231"/>
    <w:rsid w:val="005B040A"/>
    <w:rsid w:val="005C0389"/>
    <w:rsid w:val="005C6895"/>
    <w:rsid w:val="005F4B2B"/>
    <w:rsid w:val="00607E0E"/>
    <w:rsid w:val="006131FA"/>
    <w:rsid w:val="006622DE"/>
    <w:rsid w:val="0066703C"/>
    <w:rsid w:val="00673587"/>
    <w:rsid w:val="006C111D"/>
    <w:rsid w:val="0070689C"/>
    <w:rsid w:val="0071687C"/>
    <w:rsid w:val="00726A33"/>
    <w:rsid w:val="00742CD7"/>
    <w:rsid w:val="00797126"/>
    <w:rsid w:val="007B1DD9"/>
    <w:rsid w:val="007B3DDB"/>
    <w:rsid w:val="007C4858"/>
    <w:rsid w:val="007D1A5F"/>
    <w:rsid w:val="0080793B"/>
    <w:rsid w:val="008612EF"/>
    <w:rsid w:val="008626EE"/>
    <w:rsid w:val="00883AF0"/>
    <w:rsid w:val="00886848"/>
    <w:rsid w:val="008E6574"/>
    <w:rsid w:val="009033A9"/>
    <w:rsid w:val="00910E3F"/>
    <w:rsid w:val="009227B9"/>
    <w:rsid w:val="00961A47"/>
    <w:rsid w:val="00961DDA"/>
    <w:rsid w:val="00963DD2"/>
    <w:rsid w:val="0098007D"/>
    <w:rsid w:val="009926AD"/>
    <w:rsid w:val="00997AED"/>
    <w:rsid w:val="009B4580"/>
    <w:rsid w:val="009D0F18"/>
    <w:rsid w:val="009E07A7"/>
    <w:rsid w:val="00A03BFC"/>
    <w:rsid w:val="00A126BF"/>
    <w:rsid w:val="00A229F8"/>
    <w:rsid w:val="00A250CD"/>
    <w:rsid w:val="00A35CA2"/>
    <w:rsid w:val="00A73CFB"/>
    <w:rsid w:val="00A878C9"/>
    <w:rsid w:val="00AB1245"/>
    <w:rsid w:val="00AD35F7"/>
    <w:rsid w:val="00AE3BE0"/>
    <w:rsid w:val="00B20BDA"/>
    <w:rsid w:val="00B45949"/>
    <w:rsid w:val="00B500E6"/>
    <w:rsid w:val="00B5273C"/>
    <w:rsid w:val="00B845F1"/>
    <w:rsid w:val="00B8523B"/>
    <w:rsid w:val="00B94A78"/>
    <w:rsid w:val="00BB7768"/>
    <w:rsid w:val="00BC011C"/>
    <w:rsid w:val="00BC2A27"/>
    <w:rsid w:val="00BE124B"/>
    <w:rsid w:val="00BE66B3"/>
    <w:rsid w:val="00C41DE1"/>
    <w:rsid w:val="00C431F3"/>
    <w:rsid w:val="00C92DE7"/>
    <w:rsid w:val="00C945DA"/>
    <w:rsid w:val="00CE4E51"/>
    <w:rsid w:val="00CE7F17"/>
    <w:rsid w:val="00D064C6"/>
    <w:rsid w:val="00D36BC1"/>
    <w:rsid w:val="00D523E0"/>
    <w:rsid w:val="00D62714"/>
    <w:rsid w:val="00D633F5"/>
    <w:rsid w:val="00D64D09"/>
    <w:rsid w:val="00D81A49"/>
    <w:rsid w:val="00DD1A94"/>
    <w:rsid w:val="00E1231D"/>
    <w:rsid w:val="00E367DE"/>
    <w:rsid w:val="00E559B2"/>
    <w:rsid w:val="00E565BF"/>
    <w:rsid w:val="00E83B71"/>
    <w:rsid w:val="00E83FC8"/>
    <w:rsid w:val="00ED391B"/>
    <w:rsid w:val="00EE7D66"/>
    <w:rsid w:val="00F04439"/>
    <w:rsid w:val="00F30649"/>
    <w:rsid w:val="00F64651"/>
    <w:rsid w:val="00F926BC"/>
    <w:rsid w:val="00FA2544"/>
    <w:rsid w:val="00FA2B82"/>
    <w:rsid w:val="00FE313B"/>
    <w:rsid w:val="00FE4329"/>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C3E2"/>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3893"/>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uiPriority w:val="99"/>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4001">
      <w:bodyDiv w:val="1"/>
      <w:marLeft w:val="0"/>
      <w:marRight w:val="0"/>
      <w:marTop w:val="0"/>
      <w:marBottom w:val="0"/>
      <w:divBdr>
        <w:top w:val="none" w:sz="0" w:space="0" w:color="auto"/>
        <w:left w:val="none" w:sz="0" w:space="0" w:color="auto"/>
        <w:bottom w:val="none" w:sz="0" w:space="0" w:color="auto"/>
        <w:right w:val="none" w:sz="0" w:space="0" w:color="auto"/>
      </w:divBdr>
    </w:div>
    <w:div w:id="236551965">
      <w:bodyDiv w:val="1"/>
      <w:marLeft w:val="0"/>
      <w:marRight w:val="0"/>
      <w:marTop w:val="0"/>
      <w:marBottom w:val="0"/>
      <w:divBdr>
        <w:top w:val="none" w:sz="0" w:space="0" w:color="auto"/>
        <w:left w:val="none" w:sz="0" w:space="0" w:color="auto"/>
        <w:bottom w:val="none" w:sz="0" w:space="0" w:color="auto"/>
        <w:right w:val="none" w:sz="0" w:space="0" w:color="auto"/>
      </w:divBdr>
    </w:div>
    <w:div w:id="300312385">
      <w:bodyDiv w:val="1"/>
      <w:marLeft w:val="0"/>
      <w:marRight w:val="0"/>
      <w:marTop w:val="0"/>
      <w:marBottom w:val="0"/>
      <w:divBdr>
        <w:top w:val="none" w:sz="0" w:space="0" w:color="auto"/>
        <w:left w:val="none" w:sz="0" w:space="0" w:color="auto"/>
        <w:bottom w:val="none" w:sz="0" w:space="0" w:color="auto"/>
        <w:right w:val="none" w:sz="0" w:space="0" w:color="auto"/>
      </w:divBdr>
    </w:div>
    <w:div w:id="317225042">
      <w:bodyDiv w:val="1"/>
      <w:marLeft w:val="0"/>
      <w:marRight w:val="0"/>
      <w:marTop w:val="0"/>
      <w:marBottom w:val="0"/>
      <w:divBdr>
        <w:top w:val="none" w:sz="0" w:space="0" w:color="auto"/>
        <w:left w:val="none" w:sz="0" w:space="0" w:color="auto"/>
        <w:bottom w:val="none" w:sz="0" w:space="0" w:color="auto"/>
        <w:right w:val="none" w:sz="0" w:space="0" w:color="auto"/>
      </w:divBdr>
      <w:divsChild>
        <w:div w:id="447238474">
          <w:marLeft w:val="0"/>
          <w:marRight w:val="0"/>
          <w:marTop w:val="0"/>
          <w:marBottom w:val="0"/>
          <w:divBdr>
            <w:top w:val="none" w:sz="0" w:space="0" w:color="auto"/>
            <w:left w:val="none" w:sz="0" w:space="0" w:color="auto"/>
            <w:bottom w:val="none" w:sz="0" w:space="0" w:color="auto"/>
            <w:right w:val="none" w:sz="0" w:space="0" w:color="auto"/>
          </w:divBdr>
          <w:divsChild>
            <w:div w:id="690497076">
              <w:marLeft w:val="0"/>
              <w:marRight w:val="0"/>
              <w:marTop w:val="0"/>
              <w:marBottom w:val="0"/>
              <w:divBdr>
                <w:top w:val="none" w:sz="0" w:space="0" w:color="auto"/>
                <w:left w:val="none" w:sz="0" w:space="0" w:color="auto"/>
                <w:bottom w:val="none" w:sz="0" w:space="0" w:color="auto"/>
                <w:right w:val="none" w:sz="0" w:space="0" w:color="auto"/>
              </w:divBdr>
              <w:divsChild>
                <w:div w:id="1653364479">
                  <w:marLeft w:val="0"/>
                  <w:marRight w:val="0"/>
                  <w:marTop w:val="0"/>
                  <w:marBottom w:val="0"/>
                  <w:divBdr>
                    <w:top w:val="none" w:sz="0" w:space="0" w:color="auto"/>
                    <w:left w:val="none" w:sz="0" w:space="0" w:color="auto"/>
                    <w:bottom w:val="none" w:sz="0" w:space="0" w:color="auto"/>
                    <w:right w:val="none" w:sz="0" w:space="0" w:color="auto"/>
                  </w:divBdr>
                  <w:divsChild>
                    <w:div w:id="1496410225">
                      <w:marLeft w:val="0"/>
                      <w:marRight w:val="0"/>
                      <w:marTop w:val="0"/>
                      <w:marBottom w:val="0"/>
                      <w:divBdr>
                        <w:top w:val="none" w:sz="0" w:space="0" w:color="auto"/>
                        <w:left w:val="none" w:sz="0" w:space="0" w:color="auto"/>
                        <w:bottom w:val="none" w:sz="0" w:space="0" w:color="auto"/>
                        <w:right w:val="none" w:sz="0" w:space="0" w:color="auto"/>
                      </w:divBdr>
                      <w:divsChild>
                        <w:div w:id="725179024">
                          <w:marLeft w:val="0"/>
                          <w:marRight w:val="0"/>
                          <w:marTop w:val="0"/>
                          <w:marBottom w:val="0"/>
                          <w:divBdr>
                            <w:top w:val="none" w:sz="0" w:space="0" w:color="auto"/>
                            <w:left w:val="none" w:sz="0" w:space="0" w:color="auto"/>
                            <w:bottom w:val="none" w:sz="0" w:space="0" w:color="auto"/>
                            <w:right w:val="none" w:sz="0" w:space="0" w:color="auto"/>
                          </w:divBdr>
                          <w:divsChild>
                            <w:div w:id="975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4205">
      <w:bodyDiv w:val="1"/>
      <w:marLeft w:val="0"/>
      <w:marRight w:val="0"/>
      <w:marTop w:val="0"/>
      <w:marBottom w:val="0"/>
      <w:divBdr>
        <w:top w:val="none" w:sz="0" w:space="0" w:color="auto"/>
        <w:left w:val="none" w:sz="0" w:space="0" w:color="auto"/>
        <w:bottom w:val="none" w:sz="0" w:space="0" w:color="auto"/>
        <w:right w:val="none" w:sz="0" w:space="0" w:color="auto"/>
      </w:divBdr>
    </w:div>
    <w:div w:id="529533322">
      <w:bodyDiv w:val="1"/>
      <w:marLeft w:val="0"/>
      <w:marRight w:val="0"/>
      <w:marTop w:val="0"/>
      <w:marBottom w:val="0"/>
      <w:divBdr>
        <w:top w:val="none" w:sz="0" w:space="0" w:color="auto"/>
        <w:left w:val="none" w:sz="0" w:space="0" w:color="auto"/>
        <w:bottom w:val="none" w:sz="0" w:space="0" w:color="auto"/>
        <w:right w:val="none" w:sz="0" w:space="0" w:color="auto"/>
      </w:divBdr>
      <w:divsChild>
        <w:div w:id="1159996906">
          <w:marLeft w:val="0"/>
          <w:marRight w:val="0"/>
          <w:marTop w:val="0"/>
          <w:marBottom w:val="0"/>
          <w:divBdr>
            <w:top w:val="none" w:sz="0" w:space="0" w:color="auto"/>
            <w:left w:val="none" w:sz="0" w:space="0" w:color="auto"/>
            <w:bottom w:val="none" w:sz="0" w:space="0" w:color="auto"/>
            <w:right w:val="none" w:sz="0" w:space="0" w:color="auto"/>
          </w:divBdr>
          <w:divsChild>
            <w:div w:id="693385108">
              <w:marLeft w:val="0"/>
              <w:marRight w:val="0"/>
              <w:marTop w:val="0"/>
              <w:marBottom w:val="0"/>
              <w:divBdr>
                <w:top w:val="none" w:sz="0" w:space="0" w:color="auto"/>
                <w:left w:val="none" w:sz="0" w:space="0" w:color="auto"/>
                <w:bottom w:val="none" w:sz="0" w:space="0" w:color="auto"/>
                <w:right w:val="none" w:sz="0" w:space="0" w:color="auto"/>
              </w:divBdr>
              <w:divsChild>
                <w:div w:id="418522486">
                  <w:marLeft w:val="0"/>
                  <w:marRight w:val="0"/>
                  <w:marTop w:val="0"/>
                  <w:marBottom w:val="0"/>
                  <w:divBdr>
                    <w:top w:val="none" w:sz="0" w:space="0" w:color="auto"/>
                    <w:left w:val="none" w:sz="0" w:space="0" w:color="auto"/>
                    <w:bottom w:val="none" w:sz="0" w:space="0" w:color="auto"/>
                    <w:right w:val="none" w:sz="0" w:space="0" w:color="auto"/>
                  </w:divBdr>
                  <w:divsChild>
                    <w:div w:id="1809855028">
                      <w:marLeft w:val="0"/>
                      <w:marRight w:val="0"/>
                      <w:marTop w:val="0"/>
                      <w:marBottom w:val="0"/>
                      <w:divBdr>
                        <w:top w:val="none" w:sz="0" w:space="0" w:color="auto"/>
                        <w:left w:val="none" w:sz="0" w:space="0" w:color="auto"/>
                        <w:bottom w:val="none" w:sz="0" w:space="0" w:color="auto"/>
                        <w:right w:val="none" w:sz="0" w:space="0" w:color="auto"/>
                      </w:divBdr>
                      <w:divsChild>
                        <w:div w:id="2127771461">
                          <w:marLeft w:val="0"/>
                          <w:marRight w:val="0"/>
                          <w:marTop w:val="0"/>
                          <w:marBottom w:val="0"/>
                          <w:divBdr>
                            <w:top w:val="none" w:sz="0" w:space="0" w:color="auto"/>
                            <w:left w:val="none" w:sz="0" w:space="0" w:color="auto"/>
                            <w:bottom w:val="none" w:sz="0" w:space="0" w:color="auto"/>
                            <w:right w:val="none" w:sz="0" w:space="0" w:color="auto"/>
                          </w:divBdr>
                          <w:divsChild>
                            <w:div w:id="13847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1902">
      <w:bodyDiv w:val="1"/>
      <w:marLeft w:val="0"/>
      <w:marRight w:val="0"/>
      <w:marTop w:val="0"/>
      <w:marBottom w:val="0"/>
      <w:divBdr>
        <w:top w:val="none" w:sz="0" w:space="0" w:color="auto"/>
        <w:left w:val="none" w:sz="0" w:space="0" w:color="auto"/>
        <w:bottom w:val="none" w:sz="0" w:space="0" w:color="auto"/>
        <w:right w:val="none" w:sz="0" w:space="0" w:color="auto"/>
      </w:divBdr>
    </w:div>
    <w:div w:id="1091776034">
      <w:bodyDiv w:val="1"/>
      <w:marLeft w:val="0"/>
      <w:marRight w:val="0"/>
      <w:marTop w:val="0"/>
      <w:marBottom w:val="0"/>
      <w:divBdr>
        <w:top w:val="none" w:sz="0" w:space="0" w:color="auto"/>
        <w:left w:val="none" w:sz="0" w:space="0" w:color="auto"/>
        <w:bottom w:val="none" w:sz="0" w:space="0" w:color="auto"/>
        <w:right w:val="none" w:sz="0" w:space="0" w:color="auto"/>
      </w:divBdr>
    </w:div>
    <w:div w:id="1117797921">
      <w:bodyDiv w:val="1"/>
      <w:marLeft w:val="0"/>
      <w:marRight w:val="0"/>
      <w:marTop w:val="0"/>
      <w:marBottom w:val="0"/>
      <w:divBdr>
        <w:top w:val="none" w:sz="0" w:space="0" w:color="auto"/>
        <w:left w:val="none" w:sz="0" w:space="0" w:color="auto"/>
        <w:bottom w:val="none" w:sz="0" w:space="0" w:color="auto"/>
        <w:right w:val="none" w:sz="0" w:space="0" w:color="auto"/>
      </w:divBdr>
    </w:div>
    <w:div w:id="1389761472">
      <w:bodyDiv w:val="1"/>
      <w:marLeft w:val="0"/>
      <w:marRight w:val="0"/>
      <w:marTop w:val="0"/>
      <w:marBottom w:val="0"/>
      <w:divBdr>
        <w:top w:val="none" w:sz="0" w:space="0" w:color="auto"/>
        <w:left w:val="none" w:sz="0" w:space="0" w:color="auto"/>
        <w:bottom w:val="none" w:sz="0" w:space="0" w:color="auto"/>
        <w:right w:val="none" w:sz="0" w:space="0" w:color="auto"/>
      </w:divBdr>
    </w:div>
    <w:div w:id="1492679646">
      <w:bodyDiv w:val="1"/>
      <w:marLeft w:val="0"/>
      <w:marRight w:val="0"/>
      <w:marTop w:val="0"/>
      <w:marBottom w:val="0"/>
      <w:divBdr>
        <w:top w:val="none" w:sz="0" w:space="0" w:color="auto"/>
        <w:left w:val="none" w:sz="0" w:space="0" w:color="auto"/>
        <w:bottom w:val="none" w:sz="0" w:space="0" w:color="auto"/>
        <w:right w:val="none" w:sz="0" w:space="0" w:color="auto"/>
      </w:divBdr>
    </w:div>
    <w:div w:id="1871797540">
      <w:bodyDiv w:val="1"/>
      <w:marLeft w:val="0"/>
      <w:marRight w:val="0"/>
      <w:marTop w:val="0"/>
      <w:marBottom w:val="0"/>
      <w:divBdr>
        <w:top w:val="none" w:sz="0" w:space="0" w:color="auto"/>
        <w:left w:val="none" w:sz="0" w:space="0" w:color="auto"/>
        <w:bottom w:val="none" w:sz="0" w:space="0" w:color="auto"/>
        <w:right w:val="none" w:sz="0" w:space="0" w:color="auto"/>
      </w:divBdr>
    </w:div>
    <w:div w:id="188220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8F3F-21D5-4B76-A910-16BFB99D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11</Pages>
  <Words>2451</Words>
  <Characters>13976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123</cp:revision>
  <cp:lastPrinted>2021-03-17T08:50:00Z</cp:lastPrinted>
  <dcterms:created xsi:type="dcterms:W3CDTF">2020-05-04T16:08:00Z</dcterms:created>
  <dcterms:modified xsi:type="dcterms:W3CDTF">2024-09-16T13:21:00Z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